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int="eastAsia" w:hAnsi="宋体" w:asciiTheme="minorEastAsia" w:eastAsiaTheme="minorEastAsia"/>
                      <w:color w:val="FDEFBE"/>
                      <w:sz w:val="96"/>
                      <w:szCs w:val="96"/>
                      <w:lang w:val="en-US" w:eastAsia="zh-CN"/>
                    </w:rPr>
                  </w:pPr>
                  <w:r>
                    <w:rPr>
                      <w:rFonts w:hint="eastAsia" w:hAnsi="宋体" w:asciiTheme="minorEastAsia" w:eastAsiaTheme="minorEastAsia"/>
                      <w:color w:val="FDEFBE"/>
                      <w:sz w:val="96"/>
                      <w:szCs w:val="96"/>
                      <w:lang w:val="en-US" w:eastAsia="zh-CN"/>
                    </w:rPr>
                    <w:t>邯郸市水利局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 w:hAnsi="楷体" w:eastAsia="楷体" w:cs="楷体"/>
          <w:b/>
          <w:sz w:val="40"/>
          <w:szCs w:val="40"/>
        </w:rPr>
        <w:sectPr>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楷体" w:hAnsi="楷体" w:eastAsia="楷体" w:cs="楷体"/>
          <w:b/>
          <w:sz w:val="40"/>
          <w:szCs w:val="40"/>
        </w:rPr>
        <w:t>二〇一九年</w:t>
      </w:r>
      <w:r>
        <w:rPr>
          <w:rFonts w:hint="eastAsia" w:ascii="楷体" w:hAnsi="楷体" w:eastAsia="楷体" w:cs="楷体"/>
          <w:b/>
          <w:sz w:val="40"/>
          <w:szCs w:val="40"/>
          <w:lang w:val="en-US" w:eastAsia="zh-CN"/>
        </w:rPr>
        <w:t>十一月</w:t>
      </w:r>
    </w:p>
    <w:p>
      <w:pPr>
        <w:spacing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75648;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邯郸市水利局</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74624;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257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62336;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keepNext w:val="0"/>
        <w:keepLines w:val="0"/>
        <w:pageBreakBefore w:val="0"/>
        <w:widowControl w:val="0"/>
        <w:kinsoku/>
        <w:wordWrap/>
        <w:overflowPunct/>
        <w:topLinePunct w:val="0"/>
        <w:autoSpaceDE/>
        <w:autoSpaceDN/>
        <w:bidi w:val="0"/>
        <w:adjustRightInd/>
        <w:snapToGrid w:val="0"/>
        <w:spacing w:after="0" w:line="600" w:lineRule="atLeas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（一）</w:t>
      </w:r>
      <w:r>
        <w:rPr>
          <w:rFonts w:hint="eastAsia" w:ascii="仿宋_GB2312" w:hAnsi="仿宋_GB2312" w:eastAsia="仿宋_GB2312" w:cs="仿宋_GB2312"/>
          <w:sz w:val="32"/>
          <w:szCs w:val="32"/>
        </w:rPr>
        <w:t>负责保障水资源的合理开发利用，拟订水利战略规划和政策，起草有关地方性法规、政府规章草案，组织编制</w:t>
      </w:r>
      <w:r>
        <w:rPr>
          <w:rFonts w:hint="eastAsia" w:ascii="仿宋_GB2312" w:hAnsi="仿宋_GB2312" w:eastAsia="仿宋_GB2312" w:cs="仿宋_GB2312"/>
          <w:sz w:val="32"/>
          <w:szCs w:val="32"/>
          <w:lang w:eastAsia="zh-CN"/>
        </w:rPr>
        <w:t>全市水资源战略规划、重要流域综合规划、防洪规划等重大水利规划。</w:t>
      </w:r>
    </w:p>
    <w:p>
      <w:pPr>
        <w:keepNext w:val="0"/>
        <w:keepLines w:val="0"/>
        <w:pageBreakBefore w:val="0"/>
        <w:widowControl w:val="0"/>
        <w:kinsoku/>
        <w:wordWrap/>
        <w:overflowPunct/>
        <w:topLinePunct w:val="0"/>
        <w:autoSpaceDE/>
        <w:autoSpaceDN/>
        <w:bidi w:val="0"/>
        <w:adjustRightInd/>
        <w:snapToGrid w:val="0"/>
        <w:spacing w:after="0" w:line="600" w:lineRule="atLeast"/>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　　（二）</w:t>
      </w:r>
      <w:r>
        <w:rPr>
          <w:rFonts w:hint="eastAsia" w:ascii="仿宋_GB2312" w:hAnsi="仿宋_GB2312" w:eastAsia="仿宋_GB2312" w:cs="仿宋_GB2312"/>
          <w:sz w:val="32"/>
          <w:szCs w:val="32"/>
        </w:rPr>
        <w:t>负责生活、生产经营和生态环境用水的统筹兼顾和保障。</w:t>
      </w:r>
      <w:r>
        <w:rPr>
          <w:rFonts w:hint="eastAsia" w:ascii="仿宋_GB2312" w:hAnsi="仿宋_GB2312" w:eastAsia="仿宋_GB2312" w:cs="仿宋_GB2312"/>
          <w:sz w:val="32"/>
          <w:szCs w:val="32"/>
          <w:lang w:eastAsia="zh-CN"/>
        </w:rPr>
        <w:t>组织实施最严格水资源管理制度，</w:t>
      </w:r>
      <w:r>
        <w:rPr>
          <w:rFonts w:hint="eastAsia" w:ascii="仿宋_GB2312" w:hAnsi="仿宋_GB2312" w:eastAsia="仿宋_GB2312" w:cs="仿宋_GB2312"/>
          <w:sz w:val="32"/>
          <w:szCs w:val="32"/>
        </w:rPr>
        <w:t>实施水资源的统一监督管理，拟订全市和跨县（市、区）水中长期供求规划、水量分配方案并监督实施，组织开展水资源调查评价工作，按规定开展水能资源调查工作，负责重要流域、区域以及</w:t>
      </w:r>
      <w:r>
        <w:rPr>
          <w:rFonts w:hint="eastAsia" w:ascii="仿宋_GB2312" w:hAnsi="仿宋_GB2312" w:eastAsia="仿宋_GB2312" w:cs="仿宋_GB2312"/>
          <w:sz w:val="32"/>
          <w:szCs w:val="32"/>
          <w:lang w:eastAsia="zh-CN"/>
        </w:rPr>
        <w:t>重大调水工程</w:t>
      </w:r>
      <w:r>
        <w:rPr>
          <w:rFonts w:hint="eastAsia" w:ascii="仿宋_GB2312" w:hAnsi="仿宋_GB2312" w:eastAsia="仿宋_GB2312" w:cs="仿宋_GB2312"/>
          <w:sz w:val="32"/>
          <w:szCs w:val="32"/>
        </w:rPr>
        <w:t>的水资源调度</w:t>
      </w:r>
      <w:r>
        <w:rPr>
          <w:rFonts w:hint="eastAsia" w:ascii="仿宋_GB2312" w:hAnsi="仿宋_GB2312" w:eastAsia="仿宋_GB2312" w:cs="仿宋_GB2312"/>
          <w:sz w:val="32"/>
          <w:szCs w:val="32"/>
          <w:lang w:eastAsia="zh-CN"/>
        </w:rPr>
        <w:t>。负责对取水项目、水资源论证和防洪论证有关工作的技术指导和监督管理，指导开展水资源有偿使用工作；指导河道采砂监督管理工作；指导水利行业供水和乡镇供水工作</w:t>
      </w:r>
      <w:r>
        <w:rPr>
          <w:rFonts w:hint="eastAsia" w:ascii="仿宋_GB2312" w:hAnsi="仿宋_GB2312" w:eastAsia="仿宋_GB2312" w:cs="仿宋_GB2312"/>
          <w:sz w:val="32"/>
          <w:szCs w:val="32"/>
        </w:rPr>
        <w:t>。</w:t>
      </w:r>
    </w:p>
    <w:p>
      <w:pPr>
        <w:spacing w:line="600" w:lineRule="atLeast"/>
        <w:ind w:firstLine="64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按规定制定水利工程建设有关制度并组织实施；负责提出市级水利固定资产投资规模、方向、具体安排建议并组织指导实施，按规定权限审查、审核市规划内和年度计划规模内固定资产的投资项目；提出市级水利建设投资安排建议，负责指导项目实施。</w:t>
      </w:r>
    </w:p>
    <w:p>
      <w:pPr>
        <w:spacing w:line="600" w:lineRule="atLeast"/>
        <w:ind w:firstLine="64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（四）指导</w:t>
      </w:r>
      <w:r>
        <w:rPr>
          <w:rFonts w:hint="eastAsia" w:ascii="仿宋_GB2312" w:hAnsi="仿宋_GB2312" w:eastAsia="仿宋_GB2312" w:cs="仿宋_GB2312"/>
          <w:sz w:val="32"/>
          <w:szCs w:val="32"/>
        </w:rPr>
        <w:t>水资源保护工作。组织编制</w:t>
      </w:r>
      <w:r>
        <w:rPr>
          <w:rFonts w:hint="eastAsia" w:ascii="仿宋_GB2312" w:hAnsi="仿宋_GB2312" w:eastAsia="仿宋_GB2312" w:cs="仿宋_GB2312"/>
          <w:sz w:val="32"/>
          <w:szCs w:val="32"/>
          <w:lang w:eastAsia="zh-CN"/>
        </w:rPr>
        <w:t>并实施水资源保护规划，</w:t>
      </w:r>
      <w:r>
        <w:rPr>
          <w:rFonts w:hint="eastAsia" w:ascii="仿宋_GB2312" w:hAnsi="仿宋_GB2312" w:eastAsia="仿宋_GB2312" w:cs="仿宋_GB2312"/>
          <w:sz w:val="32"/>
          <w:szCs w:val="32"/>
        </w:rPr>
        <w:t>指导饮用水水源保护工作，指导地下水开发利用和</w:t>
      </w:r>
      <w:r>
        <w:rPr>
          <w:rFonts w:hint="eastAsia" w:ascii="仿宋_GB2312" w:hAnsi="仿宋_GB2312" w:eastAsia="仿宋_GB2312" w:cs="仿宋_GB2312"/>
          <w:sz w:val="32"/>
          <w:szCs w:val="32"/>
          <w:lang w:eastAsia="zh-CN"/>
        </w:rPr>
        <w:t>地下</w:t>
      </w:r>
      <w:r>
        <w:rPr>
          <w:rFonts w:hint="eastAsia" w:ascii="仿宋_GB2312" w:hAnsi="仿宋_GB2312" w:eastAsia="仿宋_GB2312" w:cs="仿宋_GB2312"/>
          <w:sz w:val="32"/>
          <w:szCs w:val="32"/>
        </w:rPr>
        <w:t>水资源管理保护</w:t>
      </w:r>
      <w:r>
        <w:rPr>
          <w:rFonts w:hint="eastAsia" w:ascii="仿宋_GB2312" w:hAnsi="仿宋_GB2312" w:eastAsia="仿宋_GB2312" w:cs="仿宋_GB2312"/>
          <w:sz w:val="32"/>
          <w:szCs w:val="32"/>
          <w:lang w:eastAsia="zh-CN"/>
        </w:rPr>
        <w:t>。组织指导地下水超采区综合治理。</w:t>
      </w:r>
    </w:p>
    <w:p>
      <w:pPr>
        <w:spacing w:line="600" w:lineRule="atLeast"/>
        <w:ind w:firstLine="64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（五）负责节约用水工作。拟订节约用水政策，组织编制节约用水规划并监督实施，组织实施有关标准，组织实施用水总量控制等管理制度，指导和推动节水型社会建设工作。</w:t>
      </w:r>
    </w:p>
    <w:p>
      <w:pPr>
        <w:spacing w:line="600" w:lineRule="atLeast"/>
        <w:ind w:firstLine="64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（六）按规定对江河湖库和地下水实施监测，组织开展水资源评价工作，组织开展水能资源调查评价工作，发布水资源公报。</w:t>
      </w:r>
    </w:p>
    <w:p>
      <w:pPr>
        <w:spacing w:line="600" w:lineRule="atLeast"/>
        <w:ind w:firstLine="64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（七）</w:t>
      </w:r>
      <w:r>
        <w:rPr>
          <w:rFonts w:hint="eastAsia" w:ascii="仿宋_GB2312" w:hAnsi="仿宋_GB2312" w:eastAsia="仿宋_GB2312" w:cs="仿宋_GB2312"/>
          <w:sz w:val="32"/>
          <w:szCs w:val="32"/>
        </w:rPr>
        <w:t>指导水利设施、水域及其岸线的管理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保护</w:t>
      </w:r>
      <w:r>
        <w:rPr>
          <w:rFonts w:hint="eastAsia" w:ascii="仿宋_GB2312" w:hAnsi="仿宋_GB2312" w:eastAsia="仿宋_GB2312" w:cs="仿宋_GB2312"/>
          <w:sz w:val="32"/>
          <w:szCs w:val="32"/>
          <w:lang w:eastAsia="zh-CN"/>
        </w:rPr>
        <w:t>与综合利用。组织指导水利基础设施网络建设。</w:t>
      </w:r>
      <w:r>
        <w:rPr>
          <w:rFonts w:hint="eastAsia" w:ascii="仿宋_GB2312" w:hAnsi="仿宋_GB2312" w:eastAsia="仿宋_GB2312" w:cs="仿宋_GB2312"/>
          <w:sz w:val="32"/>
          <w:szCs w:val="32"/>
        </w:rPr>
        <w:t>指导</w:t>
      </w:r>
      <w:r>
        <w:rPr>
          <w:rFonts w:hint="eastAsia" w:ascii="仿宋_GB2312" w:hAnsi="仿宋_GB2312" w:eastAsia="仿宋_GB2312" w:cs="仿宋_GB2312"/>
          <w:sz w:val="32"/>
          <w:szCs w:val="32"/>
          <w:lang w:eastAsia="zh-CN"/>
        </w:rPr>
        <w:t>重要江河湖泊的治理、开发和保护。指导河湖水生态保护与修复、河湖生态流量水量管理以及河湖水系连通工作。</w:t>
      </w:r>
    </w:p>
    <w:p>
      <w:pPr>
        <w:spacing w:line="600" w:lineRule="atLeast"/>
        <w:ind w:firstLine="64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八）指导监督协调水利工程建设与运行管理，组织实施具有控制性的和跨区域的重要水利工程建设与运行管理。协助落实南水北调配套工程运行和后续工程建设的有关政策措施，监督配合工程安全运行，配合工程验收有关工作。</w:t>
      </w:r>
    </w:p>
    <w:p>
      <w:pPr>
        <w:spacing w:line="600" w:lineRule="atLeas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（九）负责水土保持工作。</w:t>
      </w:r>
      <w:r>
        <w:rPr>
          <w:rFonts w:hint="eastAsia" w:ascii="仿宋_GB2312" w:hAnsi="仿宋_GB2312" w:eastAsia="仿宋_GB2312" w:cs="仿宋_GB2312"/>
          <w:sz w:val="32"/>
          <w:szCs w:val="32"/>
        </w:rPr>
        <w:t>拟订水土保持规划并监督实施，组织实施水土流失的综合防治、监测</w:t>
      </w:r>
      <w:r>
        <w:rPr>
          <w:rFonts w:hint="eastAsia" w:ascii="仿宋_GB2312" w:hAnsi="仿宋_GB2312" w:eastAsia="仿宋_GB2312" w:cs="仿宋_GB2312"/>
          <w:sz w:val="32"/>
          <w:szCs w:val="32"/>
          <w:lang w:eastAsia="zh-CN"/>
        </w:rPr>
        <w:t>预报。负责建设项目水土保持监督管理工作，</w:t>
      </w:r>
      <w:r>
        <w:rPr>
          <w:rFonts w:hint="eastAsia" w:ascii="仿宋_GB2312" w:hAnsi="仿宋_GB2312" w:eastAsia="仿宋_GB2312" w:cs="仿宋_GB2312"/>
          <w:sz w:val="32"/>
          <w:szCs w:val="32"/>
        </w:rPr>
        <w:t>指导重点水土保持建设项目的实施。</w:t>
      </w:r>
    </w:p>
    <w:p>
      <w:pPr>
        <w:spacing w:line="600" w:lineRule="atLeast"/>
        <w:ind w:firstLine="64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指导农村水利工作。组织开展大中型灌排工程建设与改造，组织指导农村饮水安全工程建设与管理工作，指导节水灌溉有关工作。指导农村水利改革创新和社会化服务体系建设。指导农村水能资源开发、小水电改造和水电农村电气化工作。负责制订全市水能资源的开发利用规划，指导水电行业的运行管理及安全生产，负责水电建设和改造项目的审批、上报工作。</w:t>
      </w:r>
    </w:p>
    <w:p>
      <w:pPr>
        <w:spacing w:line="600" w:lineRule="atLeast"/>
        <w:ind w:firstLine="64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（十一）指导水库、水电工程移民管理工作。拟订水库、水电工程移民有关政策并监督实施，监督检查水库、水电工程移民安置工作。指导监督水库移民后期扶持政策的实施。</w:t>
      </w:r>
    </w:p>
    <w:p>
      <w:pPr>
        <w:spacing w:line="600" w:lineRule="atLeast"/>
        <w:ind w:firstLine="64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（十二）</w:t>
      </w:r>
      <w:r>
        <w:rPr>
          <w:rFonts w:hint="eastAsia" w:ascii="仿宋_GB2312" w:hAnsi="仿宋_GB2312" w:eastAsia="仿宋_GB2312" w:cs="仿宋_GB2312"/>
          <w:sz w:val="32"/>
          <w:szCs w:val="32"/>
        </w:rPr>
        <w:t>负责重大涉水违法事件的查处、协调、仲裁部门</w:t>
      </w:r>
      <w:r>
        <w:rPr>
          <w:rFonts w:hint="eastAsia" w:ascii="仿宋_GB2312" w:hAnsi="仿宋_GB2312" w:eastAsia="仿宋_GB2312" w:cs="仿宋_GB2312"/>
          <w:sz w:val="32"/>
          <w:szCs w:val="32"/>
          <w:lang w:eastAsia="zh-CN"/>
        </w:rPr>
        <w:t>、跨</w:t>
      </w:r>
      <w:r>
        <w:rPr>
          <w:rFonts w:hint="eastAsia" w:ascii="仿宋_GB2312" w:hAnsi="仿宋_GB2312" w:eastAsia="仿宋_GB2312" w:cs="仿宋_GB2312"/>
          <w:sz w:val="32"/>
          <w:szCs w:val="32"/>
        </w:rPr>
        <w:t>县（市、区）水事纠纷，指导水政监察和水行政执法。依法负责水利行业安全生产工作，组织指导水库、水电站大坝</w:t>
      </w:r>
      <w:r>
        <w:rPr>
          <w:rFonts w:hint="eastAsia" w:ascii="仿宋_GB2312" w:hAnsi="仿宋_GB2312" w:eastAsia="仿宋_GB2312" w:cs="仿宋_GB2312"/>
          <w:sz w:val="32"/>
          <w:szCs w:val="32"/>
          <w:lang w:eastAsia="zh-CN"/>
        </w:rPr>
        <w:t>、农村水电站</w:t>
      </w:r>
      <w:r>
        <w:rPr>
          <w:rFonts w:hint="eastAsia" w:ascii="仿宋_GB2312" w:hAnsi="仿宋_GB2312" w:eastAsia="仿宋_GB2312" w:cs="仿宋_GB2312"/>
          <w:sz w:val="32"/>
          <w:szCs w:val="32"/>
        </w:rPr>
        <w:t>的安全监管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指导水利建设市场的监督管理，组织实施水利工程建设的监督。</w:t>
      </w:r>
      <w:r>
        <w:rPr>
          <w:rFonts w:hint="eastAsia" w:ascii="仿宋_GB2312" w:hAnsi="仿宋_GB2312" w:eastAsia="仿宋_GB2312" w:cs="仿宋_GB2312"/>
          <w:sz w:val="32"/>
          <w:szCs w:val="32"/>
          <w:lang w:eastAsia="zh-CN"/>
        </w:rPr>
        <w:t>负责水利水电工程施工三级资质初审。</w:t>
      </w:r>
    </w:p>
    <w:p>
      <w:pPr>
        <w:spacing w:line="600" w:lineRule="atLeas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（十三）</w:t>
      </w:r>
      <w:r>
        <w:rPr>
          <w:rFonts w:hint="eastAsia" w:ascii="仿宋_GB2312" w:hAnsi="仿宋_GB2312" w:eastAsia="仿宋_GB2312" w:cs="仿宋_GB2312"/>
          <w:sz w:val="32"/>
          <w:szCs w:val="32"/>
        </w:rPr>
        <w:t>组织开展水利行业质量监督工作，拟订水利行业的</w:t>
      </w:r>
      <w:r>
        <w:rPr>
          <w:rFonts w:hint="eastAsia" w:ascii="仿宋_GB2312" w:hAnsi="仿宋_GB2312" w:eastAsia="仿宋_GB2312" w:cs="仿宋_GB2312"/>
          <w:sz w:val="32"/>
          <w:szCs w:val="32"/>
          <w:lang w:eastAsia="zh-CN"/>
        </w:rPr>
        <w:t>地方</w:t>
      </w:r>
      <w:r>
        <w:rPr>
          <w:rFonts w:hint="eastAsia" w:ascii="仿宋_GB2312" w:hAnsi="仿宋_GB2312" w:eastAsia="仿宋_GB2312" w:cs="仿宋_GB2312"/>
          <w:sz w:val="32"/>
          <w:szCs w:val="32"/>
        </w:rPr>
        <w:t>技术标准、规程规范</w:t>
      </w:r>
      <w:r>
        <w:rPr>
          <w:rFonts w:hint="eastAsia" w:ascii="仿宋_GB2312" w:hAnsi="仿宋_GB2312" w:eastAsia="仿宋_GB2312" w:cs="仿宋_GB2312"/>
          <w:sz w:val="32"/>
          <w:szCs w:val="32"/>
          <w:lang w:eastAsia="zh-CN"/>
        </w:rPr>
        <w:t>的配套政策</w:t>
      </w:r>
      <w:r>
        <w:rPr>
          <w:rFonts w:hint="eastAsia" w:ascii="仿宋_GB2312" w:hAnsi="仿宋_GB2312" w:eastAsia="仿宋_GB2312" w:cs="仿宋_GB2312"/>
          <w:sz w:val="32"/>
          <w:szCs w:val="32"/>
        </w:rPr>
        <w:t>并监督实施，</w:t>
      </w:r>
      <w:r>
        <w:rPr>
          <w:rFonts w:hint="eastAsia" w:ascii="仿宋_GB2312" w:hAnsi="仿宋_GB2312" w:eastAsia="仿宋_GB2312" w:cs="仿宋_GB2312"/>
          <w:sz w:val="32"/>
          <w:szCs w:val="32"/>
          <w:lang w:eastAsia="zh-CN"/>
        </w:rPr>
        <w:t>组织重大水利科学研究、技术引进和科技推广，开展国际交流与合作</w:t>
      </w:r>
      <w:r>
        <w:rPr>
          <w:rFonts w:hint="eastAsia" w:ascii="仿宋_GB2312" w:hAnsi="仿宋_GB2312" w:eastAsia="仿宋_GB2312" w:cs="仿宋_GB2312"/>
          <w:sz w:val="32"/>
          <w:szCs w:val="32"/>
        </w:rPr>
        <w:t>。</w:t>
      </w:r>
    </w:p>
    <w:p>
      <w:pPr>
        <w:spacing w:line="600" w:lineRule="atLeast"/>
        <w:ind w:firstLine="64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十四）负责落实水旱灾害防灾减灾规划、标准及相关要求，承担水情旱情监测预警工作。组织编制重要江河湖泊和重要水工程的防御洪水抗御旱灾调度及应急水量调度方案，按程序报批并组织实施。承担防御洪水应急抢险的技术支撑工作，承担台风防御期间重要水工程调度工作。</w:t>
      </w:r>
    </w:p>
    <w:p>
      <w:pPr>
        <w:spacing w:line="600" w:lineRule="atLeas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十五）负责管理部分县（市、区）农业村电气化工作；研究制订农电发展战略规划的年度计划，并组织实施；对农电企业经营、安全生产及队伍实行监督、管理；利用农电发展基金和专项基金，有计划地建设农网骨干工程。</w:t>
      </w:r>
    </w:p>
    <w:p>
      <w:pPr>
        <w:spacing w:line="600" w:lineRule="atLeas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w:t>
      </w: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rPr>
        <w:t>）承办市委、市政府交办的其它事项。</w:t>
      </w:r>
    </w:p>
    <w:p>
      <w:pPr>
        <w:spacing w:line="600" w:lineRule="atLeas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从决算编报单位构成看，纳入2018 年度本部门决算汇编范围的独立核算单位（以下简称“单位”）共 </w:t>
      </w:r>
      <w:r>
        <w:rPr>
          <w:rFonts w:hint="eastAsia" w:ascii="仿宋_GB2312" w:eastAsia="仿宋_GB2312" w:cs="ArialUnicodeMS" w:hAnsiTheme="minorHAnsi"/>
          <w:kern w:val="0"/>
          <w:sz w:val="32"/>
          <w:szCs w:val="32"/>
          <w:lang w:val="en-US" w:eastAsia="zh-CN"/>
        </w:rPr>
        <w:t>4</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848"/>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848"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262"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邯郸市水利局（本级）</w:t>
            </w:r>
          </w:p>
        </w:tc>
        <w:tc>
          <w:tcPr>
            <w:tcW w:w="2848"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行政单位</w:t>
            </w:r>
          </w:p>
        </w:tc>
        <w:tc>
          <w:tcPr>
            <w:tcW w:w="2262"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邯郸市水利科技推广与培训中心</w:t>
            </w:r>
          </w:p>
        </w:tc>
        <w:tc>
          <w:tcPr>
            <w:tcW w:w="2848"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财政补助事业单位</w:t>
            </w:r>
          </w:p>
        </w:tc>
        <w:tc>
          <w:tcPr>
            <w:tcW w:w="2262" w:type="dxa"/>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邯郸市水资源综合管理办公室</w:t>
            </w:r>
          </w:p>
        </w:tc>
        <w:tc>
          <w:tcPr>
            <w:tcW w:w="2848" w:type="dxa"/>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eastAsia="zh-CN"/>
              </w:rPr>
              <w:t>参公事业单位</w:t>
            </w:r>
            <w:r>
              <w:rPr>
                <w:rFonts w:hint="eastAsia" w:ascii="仿宋_GB2312" w:eastAsia="仿宋_GB2312" w:cs="ArialUnicodeMS" w:hAnsiTheme="minorHAnsi"/>
                <w:kern w:val="0"/>
                <w:sz w:val="28"/>
                <w:szCs w:val="28"/>
                <w:lang w:val="en-US" w:eastAsia="zh-CN"/>
              </w:rPr>
              <w:t>/财政补助事业单位</w:t>
            </w:r>
          </w:p>
        </w:tc>
        <w:tc>
          <w:tcPr>
            <w:tcW w:w="2262" w:type="dxa"/>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4</w:t>
            </w:r>
          </w:p>
        </w:tc>
        <w:tc>
          <w:tcPr>
            <w:tcW w:w="3485" w:type="dxa"/>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邯郸市水源调度中心</w:t>
            </w:r>
          </w:p>
        </w:tc>
        <w:tc>
          <w:tcPr>
            <w:tcW w:w="2848" w:type="dxa"/>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经费自理事业单位</w:t>
            </w:r>
          </w:p>
        </w:tc>
        <w:tc>
          <w:tcPr>
            <w:tcW w:w="2262" w:type="dxa"/>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财政性资金零补助</w:t>
            </w: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r>
        <w:rPr>
          <w:sz w:val="72"/>
        </w:rPr>
        <w:pict>
          <v:shape id="_x0000_s1113" o:spid="_x0000_s1113"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440" w:type="dxa"/>
        <w:tblInd w:w="0" w:type="dxa"/>
        <w:shd w:val="clear" w:color="auto" w:fill="auto"/>
        <w:tblLayout w:type="autofit"/>
        <w:tblCellMar>
          <w:top w:w="0" w:type="dxa"/>
          <w:left w:w="0" w:type="dxa"/>
          <w:bottom w:w="0" w:type="dxa"/>
          <w:right w:w="0" w:type="dxa"/>
        </w:tblCellMar>
      </w:tblPr>
      <w:tblGrid>
        <w:gridCol w:w="2950"/>
        <w:gridCol w:w="482"/>
        <w:gridCol w:w="970"/>
        <w:gridCol w:w="2950"/>
        <w:gridCol w:w="482"/>
        <w:gridCol w:w="1606"/>
      </w:tblGrid>
      <w:tr>
        <w:tblPrEx>
          <w:shd w:val="clear" w:color="auto" w:fill="auto"/>
          <w:tblCellMar>
            <w:top w:w="0" w:type="dxa"/>
            <w:left w:w="0" w:type="dxa"/>
            <w:bottom w:w="0" w:type="dxa"/>
            <w:right w:w="0" w:type="dxa"/>
          </w:tblCellMar>
        </w:tblPrEx>
        <w:trPr>
          <w:trHeight w:val="545" w:hRule="exact"/>
        </w:trPr>
        <w:tc>
          <w:tcPr>
            <w:tcW w:w="9440" w:type="dxa"/>
            <w:gridSpan w:val="6"/>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bidi="ar"/>
              </w:rPr>
              <w:t>收入支出决算总表</w:t>
            </w:r>
          </w:p>
        </w:tc>
      </w:tr>
      <w:tr>
        <w:tblPrEx>
          <w:shd w:val="clear" w:color="auto" w:fill="auto"/>
          <w:tblCellMar>
            <w:top w:w="0" w:type="dxa"/>
            <w:left w:w="0" w:type="dxa"/>
            <w:bottom w:w="0" w:type="dxa"/>
            <w:right w:w="0" w:type="dxa"/>
          </w:tblCellMar>
        </w:tblPrEx>
        <w:trPr>
          <w:trHeight w:val="425" w:hRule="exac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公开01表</w:t>
            </w:r>
          </w:p>
        </w:tc>
      </w:tr>
      <w:tr>
        <w:tblPrEx>
          <w:shd w:val="clear" w:color="auto" w:fill="auto"/>
          <w:tblCellMar>
            <w:top w:w="0" w:type="dxa"/>
            <w:left w:w="0" w:type="dxa"/>
            <w:bottom w:w="0" w:type="dxa"/>
            <w:right w:w="0" w:type="dxa"/>
          </w:tblCellMar>
        </w:tblPrEx>
        <w:trPr>
          <w:trHeight w:val="425" w:hRule="exact"/>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部门：邯郸市水利局（汇总）</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trHeight w:val="425" w:hRule="exac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收入</w:t>
            </w:r>
          </w:p>
        </w:tc>
        <w:tc>
          <w:tcPr>
            <w:tcW w:w="0" w:type="auto"/>
            <w:gridSpan w:val="3"/>
            <w:tcBorders>
              <w:top w:val="single" w:color="000000" w:sz="4" w:space="0"/>
              <w:left w:val="nil"/>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支出</w:t>
            </w: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一、财政拨款收入</w:t>
            </w: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30342.87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一、一般公共服务支出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二、上级补助收入</w:t>
            </w: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二、外交支出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三、事业收入</w:t>
            </w: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三、国防支出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四、经营收入</w:t>
            </w: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五、附属单位上缴收入</w:t>
            </w: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五、教育支出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六、其他收入</w:t>
            </w: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六、科学技术支出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七、文化体育与传媒支出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八、社会保障和就业支出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358.78 </w:t>
            </w:r>
          </w:p>
        </w:tc>
      </w:tr>
      <w:tr>
        <w:tblPrEx>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九、医疗卫生与计划生育支出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9.99 </w:t>
            </w:r>
          </w:p>
        </w:tc>
      </w:tr>
      <w:tr>
        <w:tblPrEx>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十、节能环保支出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182.00 </w:t>
            </w: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十一、城乡社区支出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6600.00 </w:t>
            </w: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十二、农林水支出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23000.06 </w:t>
            </w: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十三、交通运输支出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十四、资源勘探信息等支出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十五、商业服务业等支出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十六、金融支出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十七、援助其他地区支出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十八、国土海洋气象等支出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十九、住房保障支出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97.63 </w:t>
            </w: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二十、粮油物资储备支出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二十一、其他支出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二十二、债务还本支出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二十三、债务付息支出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本年收入合计</w:t>
            </w: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30342.87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本年支出合计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30248.47 </w:t>
            </w: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用事业基金弥补收支差额</w:t>
            </w: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结余分配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年初结转和结余</w:t>
            </w: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4529.79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年末结转和结余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4624.19 </w:t>
            </w:r>
          </w:p>
        </w:tc>
      </w:tr>
      <w:tr>
        <w:tblPrEx>
          <w:tblCellMar>
            <w:top w:w="0" w:type="dxa"/>
            <w:left w:w="0" w:type="dxa"/>
            <w:bottom w:w="0" w:type="dxa"/>
            <w:right w:w="0" w:type="dxa"/>
          </w:tblCellMar>
        </w:tblPrEx>
        <w:trPr>
          <w:trHeight w:val="425" w:hRule="exac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总计</w:t>
            </w:r>
          </w:p>
        </w:tc>
        <w:tc>
          <w:tcPr>
            <w:tcW w:w="0" w:type="auto"/>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34872.65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总计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34872.65 </w:t>
            </w:r>
          </w:p>
        </w:tc>
      </w:tr>
      <w:tr>
        <w:tblPrEx>
          <w:shd w:val="clear" w:color="auto" w:fill="auto"/>
          <w:tblCellMar>
            <w:top w:w="0" w:type="dxa"/>
            <w:left w:w="0" w:type="dxa"/>
            <w:bottom w:w="0" w:type="dxa"/>
            <w:right w:w="0" w:type="dxa"/>
          </w:tblCellMar>
        </w:tblPrEx>
        <w:trPr>
          <w:trHeight w:val="425" w:hRule="exact"/>
        </w:trPr>
        <w:tc>
          <w:tcPr>
            <w:tcW w:w="0" w:type="auto"/>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1134" w:right="1474" w:bottom="850" w:left="1588" w:header="851" w:footer="992" w:gutter="0"/>
          <w:pgBorders>
            <w:top w:val="none" w:sz="0" w:space="0"/>
            <w:left w:val="none" w:sz="0" w:space="0"/>
            <w:bottom w:val="none" w:sz="0" w:space="0"/>
            <w:right w:val="none" w:sz="0" w:space="0"/>
          </w:pgBorders>
          <w:cols w:space="0" w:num="1"/>
          <w:rtlGutter w:val="0"/>
          <w:docGrid w:type="lines" w:linePitch="312" w:charSpace="0"/>
        </w:sectPr>
      </w:pPr>
    </w:p>
    <w:tbl>
      <w:tblPr>
        <w:tblStyle w:val="12"/>
        <w:tblW w:w="10040" w:type="dxa"/>
        <w:tblInd w:w="0" w:type="dxa"/>
        <w:shd w:val="clear" w:color="auto" w:fill="auto"/>
        <w:tblLayout w:type="fixed"/>
        <w:tblCellMar>
          <w:top w:w="0" w:type="dxa"/>
          <w:left w:w="0" w:type="dxa"/>
          <w:bottom w:w="0" w:type="dxa"/>
          <w:right w:w="0" w:type="dxa"/>
        </w:tblCellMar>
      </w:tblPr>
      <w:tblGrid>
        <w:gridCol w:w="517"/>
        <w:gridCol w:w="96"/>
        <w:gridCol w:w="334"/>
        <w:gridCol w:w="109"/>
        <w:gridCol w:w="2099"/>
        <w:gridCol w:w="108"/>
        <w:gridCol w:w="1474"/>
        <w:gridCol w:w="108"/>
        <w:gridCol w:w="1163"/>
        <w:gridCol w:w="108"/>
        <w:gridCol w:w="528"/>
        <w:gridCol w:w="108"/>
        <w:gridCol w:w="400"/>
        <w:gridCol w:w="108"/>
        <w:gridCol w:w="351"/>
        <w:gridCol w:w="108"/>
        <w:gridCol w:w="1178"/>
        <w:gridCol w:w="709"/>
        <w:gridCol w:w="108"/>
        <w:gridCol w:w="326"/>
      </w:tblGrid>
      <w:tr>
        <w:tblPrEx>
          <w:tblCellMar>
            <w:top w:w="0" w:type="dxa"/>
            <w:left w:w="0" w:type="dxa"/>
            <w:bottom w:w="0" w:type="dxa"/>
            <w:right w:w="0" w:type="dxa"/>
          </w:tblCellMar>
        </w:tblPrEx>
        <w:trPr>
          <w:trHeight w:val="832" w:hRule="exact"/>
        </w:trPr>
        <w:tc>
          <w:tcPr>
            <w:tcW w:w="10040" w:type="dxa"/>
            <w:gridSpan w:val="20"/>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bidi="ar"/>
              </w:rPr>
              <w:t>收入决算表</w:t>
            </w:r>
          </w:p>
        </w:tc>
      </w:tr>
      <w:tr>
        <w:tblPrEx>
          <w:shd w:val="clear" w:color="auto" w:fill="auto"/>
          <w:tblCellMar>
            <w:top w:w="0" w:type="dxa"/>
            <w:left w:w="0" w:type="dxa"/>
            <w:bottom w:w="0" w:type="dxa"/>
            <w:right w:w="0" w:type="dxa"/>
          </w:tblCellMar>
        </w:tblPrEx>
        <w:trPr>
          <w:gridAfter w:val="1"/>
          <w:wAfter w:w="326" w:type="dxa"/>
          <w:trHeight w:val="426" w:hRule="exact"/>
        </w:trPr>
        <w:tc>
          <w:tcPr>
            <w:tcW w:w="517" w:type="dxa"/>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i w:val="0"/>
                <w:color w:val="000000"/>
                <w:sz w:val="20"/>
                <w:szCs w:val="20"/>
                <w:u w:val="none"/>
              </w:rPr>
            </w:pPr>
          </w:p>
        </w:tc>
        <w:tc>
          <w:tcPr>
            <w:tcW w:w="96"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443"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207"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582"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271"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636"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508"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45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995" w:type="dxa"/>
            <w:gridSpan w:val="3"/>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公开02表</w:t>
            </w:r>
          </w:p>
        </w:tc>
      </w:tr>
      <w:tr>
        <w:tblPrEx>
          <w:shd w:val="clear" w:color="auto" w:fill="auto"/>
          <w:tblCellMar>
            <w:top w:w="0" w:type="dxa"/>
            <w:left w:w="0" w:type="dxa"/>
            <w:bottom w:w="0" w:type="dxa"/>
            <w:right w:w="0" w:type="dxa"/>
          </w:tblCellMar>
        </w:tblPrEx>
        <w:trPr>
          <w:gridAfter w:val="1"/>
          <w:wAfter w:w="326" w:type="dxa"/>
          <w:trHeight w:val="426" w:hRule="exact"/>
        </w:trPr>
        <w:tc>
          <w:tcPr>
            <w:tcW w:w="3263" w:type="dxa"/>
            <w:gridSpan w:val="6"/>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部门：邯郸市水利局（汇总）</w:t>
            </w:r>
          </w:p>
        </w:tc>
        <w:tc>
          <w:tcPr>
            <w:tcW w:w="1582"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271"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636"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508"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45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995" w:type="dxa"/>
            <w:gridSpan w:val="3"/>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gridAfter w:val="2"/>
          <w:wAfter w:w="434" w:type="dxa"/>
          <w:trHeight w:val="426" w:hRule="exact"/>
        </w:trPr>
        <w:tc>
          <w:tcPr>
            <w:tcW w:w="3155"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1582"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本年收入合计</w:t>
            </w:r>
          </w:p>
        </w:tc>
        <w:tc>
          <w:tcPr>
            <w:tcW w:w="1271"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财政拨款收入</w:t>
            </w:r>
          </w:p>
        </w:tc>
        <w:tc>
          <w:tcPr>
            <w:tcW w:w="636"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上级补助收入</w:t>
            </w:r>
          </w:p>
        </w:tc>
        <w:tc>
          <w:tcPr>
            <w:tcW w:w="508"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事业收入</w:t>
            </w:r>
          </w:p>
        </w:tc>
        <w:tc>
          <w:tcPr>
            <w:tcW w:w="459"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经营收入</w:t>
            </w:r>
          </w:p>
        </w:tc>
        <w:tc>
          <w:tcPr>
            <w:tcW w:w="1286"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附属单位上缴收入</w:t>
            </w:r>
          </w:p>
        </w:tc>
        <w:tc>
          <w:tcPr>
            <w:tcW w:w="70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其他收入</w:t>
            </w: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功能分类科目编码</w:t>
            </w: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科目编码</w:t>
            </w:r>
          </w:p>
        </w:tc>
        <w:tc>
          <w:tcPr>
            <w:tcW w:w="2208"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科目名称</w:t>
            </w:r>
          </w:p>
        </w:tc>
        <w:tc>
          <w:tcPr>
            <w:tcW w:w="158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1"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6"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6"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08"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8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1"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6"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0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9"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6"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3155"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158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2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63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5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45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28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r>
      <w:tr>
        <w:tblPrEx>
          <w:shd w:val="clear" w:color="auto" w:fill="auto"/>
          <w:tblCellMar>
            <w:top w:w="0" w:type="dxa"/>
            <w:left w:w="0" w:type="dxa"/>
            <w:bottom w:w="0" w:type="dxa"/>
            <w:right w:w="0" w:type="dxa"/>
          </w:tblCellMar>
        </w:tblPrEx>
        <w:trPr>
          <w:gridAfter w:val="2"/>
          <w:wAfter w:w="434" w:type="dxa"/>
          <w:trHeight w:val="426" w:hRule="exact"/>
        </w:trPr>
        <w:tc>
          <w:tcPr>
            <w:tcW w:w="3155"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30,342.87</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30,342.87</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社会保障和就业支出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335.60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335.60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行政事业单位离退休</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335.60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335.60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gridAfter w:val="2"/>
          <w:wAfter w:w="434" w:type="dxa"/>
          <w:trHeight w:val="567"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2080501</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归口管理的行政单位离退休</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124.81</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124.81</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2080502</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事业单位离退休</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24.05</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24.05</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gridAfter w:val="2"/>
          <w:wAfter w:w="434" w:type="dxa"/>
          <w:trHeight w:val="64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2080505</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机关事业单位基本养老保险缴费支出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185.54</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185.54</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gridAfter w:val="2"/>
          <w:wAfter w:w="434" w:type="dxa"/>
          <w:trHeight w:val="6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2080599</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其他行政事业单位离退休支出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1.20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1.20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211</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节能环保支出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21110</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能源节约利用</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2111001</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能源节约利用</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212</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城乡社区支出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6,600.00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6,600.00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820"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21208</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国有土地使用权出让收入及对应专项债务收入安排的支出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6,600.00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6,600.00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701"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2120899</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其他国有土地使用权出让收入安排的支出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6,600.00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6,600.00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农林水支出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23,138.09</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23,138.09</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水利</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19,349.09</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19,349.09</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2130301</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行政运行</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448.19</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448.19</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2130304</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水利行业业务管理</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2130305</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水利工程建设</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4,622.00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4,622.00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2130306</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水利工程运行与维护</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9,530.50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9,530.50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2130309</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水利执法监督</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10.00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10.00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2130310</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水土保持</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211.21</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211.21</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581"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2130311</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水资源节约管理与保护</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3,295.03</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3,295.03</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2130313</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水文测报</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20.00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20.00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2130314</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防汛</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627.71</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627.71</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2130316</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农田水利</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39.60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39.60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59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2130321</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大中型水库移民后期扶持专项支出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36.00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36.00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2130322</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水利安全监督</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3.50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3.50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2130334</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水利建设移民支出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39.00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39.00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2130399</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其他水利支出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461.34</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461.34</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21304</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南水北调</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1,112.00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1,112.00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2130404</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南水北调工程建设</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1,112.00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1,112.00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85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21369</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国家重大水利工程建设基金及对应专项债务收入安排的支出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2,677.00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2,677.00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2136901</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南水北调工程建设</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2,677.00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2,677.00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215</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资源勘探信息等支出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21506</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安全生产监管</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2150699</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其他安全生产监管支出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2.00</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2.00</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221</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住房保障支出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85.18</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85.18</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22102</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住房改革支出</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85.18</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85.18</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gridAfter w:val="2"/>
          <w:wAfter w:w="434" w:type="dxa"/>
          <w:trHeight w:val="426" w:hRule="exact"/>
        </w:trPr>
        <w:tc>
          <w:tcPr>
            <w:tcW w:w="94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2210201</w:t>
            </w:r>
          </w:p>
        </w:tc>
        <w:tc>
          <w:tcPr>
            <w:tcW w:w="2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住房公积金</w:t>
            </w:r>
          </w:p>
        </w:tc>
        <w:tc>
          <w:tcPr>
            <w:tcW w:w="15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85.18</w:t>
            </w:r>
          </w:p>
        </w:tc>
        <w:tc>
          <w:tcPr>
            <w:tcW w:w="12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85.18</w:t>
            </w:r>
          </w:p>
        </w:tc>
        <w:tc>
          <w:tcPr>
            <w:tcW w:w="63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5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28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26" w:hRule="exact"/>
        </w:trPr>
        <w:tc>
          <w:tcPr>
            <w:tcW w:w="10040" w:type="dxa"/>
            <w:gridSpan w:val="20"/>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134" w:bottom="1984" w:left="1134" w:header="851" w:footer="992" w:gutter="0"/>
          <w:pgBorders>
            <w:top w:val="none" w:sz="0" w:space="0"/>
            <w:left w:val="none" w:sz="0" w:space="0"/>
            <w:bottom w:val="none" w:sz="0" w:space="0"/>
            <w:right w:val="none" w:sz="0" w:space="0"/>
          </w:pgBorders>
          <w:cols w:space="0" w:num="1"/>
          <w:rtlGutter w:val="0"/>
          <w:docGrid w:type="lines" w:linePitch="312" w:charSpace="0"/>
        </w:sectPr>
      </w:pPr>
    </w:p>
    <w:tbl>
      <w:tblPr>
        <w:tblStyle w:val="12"/>
        <w:tblW w:w="9880" w:type="dxa"/>
        <w:tblInd w:w="0" w:type="dxa"/>
        <w:shd w:val="clear" w:color="auto" w:fill="auto"/>
        <w:tblLayout w:type="fixed"/>
        <w:tblCellMar>
          <w:top w:w="0" w:type="dxa"/>
          <w:left w:w="0" w:type="dxa"/>
          <w:bottom w:w="0" w:type="dxa"/>
          <w:right w:w="0" w:type="dxa"/>
        </w:tblCellMar>
      </w:tblPr>
      <w:tblGrid>
        <w:gridCol w:w="286"/>
        <w:gridCol w:w="233"/>
        <w:gridCol w:w="290"/>
        <w:gridCol w:w="2801"/>
        <w:gridCol w:w="1154"/>
        <w:gridCol w:w="1830"/>
        <w:gridCol w:w="1215"/>
        <w:gridCol w:w="510"/>
        <w:gridCol w:w="450"/>
        <w:gridCol w:w="1111"/>
      </w:tblGrid>
      <w:tr>
        <w:tblPrEx>
          <w:shd w:val="clear" w:color="auto" w:fill="auto"/>
          <w:tblCellMar>
            <w:top w:w="0" w:type="dxa"/>
            <w:left w:w="0" w:type="dxa"/>
            <w:bottom w:w="0" w:type="dxa"/>
            <w:right w:w="0" w:type="dxa"/>
          </w:tblCellMar>
        </w:tblPrEx>
        <w:trPr>
          <w:trHeight w:val="629" w:hRule="atLeast"/>
        </w:trPr>
        <w:tc>
          <w:tcPr>
            <w:tcW w:w="9880" w:type="dxa"/>
            <w:gridSpan w:val="10"/>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bidi="ar"/>
              </w:rPr>
              <w:t>支出决算表</w:t>
            </w:r>
          </w:p>
        </w:tc>
      </w:tr>
      <w:tr>
        <w:tblPrEx>
          <w:shd w:val="clear" w:color="auto" w:fill="auto"/>
          <w:tblCellMar>
            <w:top w:w="0" w:type="dxa"/>
            <w:left w:w="0" w:type="dxa"/>
            <w:bottom w:w="0" w:type="dxa"/>
            <w:right w:w="0" w:type="dxa"/>
          </w:tblCellMar>
        </w:tblPrEx>
        <w:trPr>
          <w:trHeight w:val="449" w:hRule="atLeast"/>
        </w:trPr>
        <w:tc>
          <w:tcPr>
            <w:tcW w:w="28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eastAsia" w:ascii="Arial" w:hAnsi="Arial" w:cs="Arial"/>
                <w:i w:val="0"/>
                <w:color w:val="000000"/>
                <w:sz w:val="20"/>
                <w:szCs w:val="20"/>
                <w:u w:val="none"/>
              </w:rPr>
            </w:pPr>
          </w:p>
        </w:tc>
        <w:tc>
          <w:tcPr>
            <w:tcW w:w="233"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29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280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54"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83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215"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51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4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1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公开03表</w:t>
            </w:r>
          </w:p>
        </w:tc>
      </w:tr>
      <w:tr>
        <w:tblPrEx>
          <w:shd w:val="clear" w:color="auto" w:fill="auto"/>
          <w:tblCellMar>
            <w:top w:w="0" w:type="dxa"/>
            <w:left w:w="0" w:type="dxa"/>
            <w:bottom w:w="0" w:type="dxa"/>
            <w:right w:w="0" w:type="dxa"/>
          </w:tblCellMar>
        </w:tblPrEx>
        <w:trPr>
          <w:trHeight w:val="449" w:hRule="atLeast"/>
        </w:trPr>
        <w:tc>
          <w:tcPr>
            <w:tcW w:w="3610" w:type="dxa"/>
            <w:gridSpan w:val="4"/>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部门：邯郸市水利局（汇总）</w:t>
            </w:r>
          </w:p>
        </w:tc>
        <w:tc>
          <w:tcPr>
            <w:tcW w:w="1154"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83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215"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2071" w:type="dxa"/>
            <w:gridSpan w:val="3"/>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trHeight w:val="417" w:hRule="atLeast"/>
        </w:trPr>
        <w:tc>
          <w:tcPr>
            <w:tcW w:w="361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115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本年支出合计</w:t>
            </w:r>
          </w:p>
        </w:tc>
        <w:tc>
          <w:tcPr>
            <w:tcW w:w="183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基本支出</w:t>
            </w:r>
          </w:p>
        </w:tc>
        <w:tc>
          <w:tcPr>
            <w:tcW w:w="121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项目支出</w:t>
            </w:r>
          </w:p>
        </w:tc>
        <w:tc>
          <w:tcPr>
            <w:tcW w:w="51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上缴上级支出</w:t>
            </w:r>
          </w:p>
        </w:tc>
        <w:tc>
          <w:tcPr>
            <w:tcW w:w="4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经营支出</w:t>
            </w:r>
          </w:p>
        </w:tc>
        <w:tc>
          <w:tcPr>
            <w:tcW w:w="11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对附属单位补助支出</w:t>
            </w:r>
          </w:p>
        </w:tc>
      </w:tr>
      <w:tr>
        <w:tblPrEx>
          <w:shd w:val="clear" w:color="auto" w:fill="auto"/>
          <w:tblCellMar>
            <w:top w:w="0" w:type="dxa"/>
            <w:left w:w="0" w:type="dxa"/>
            <w:bottom w:w="0" w:type="dxa"/>
            <w:right w:w="0" w:type="dxa"/>
          </w:tblCellMar>
        </w:tblPrEx>
        <w:trPr>
          <w:trHeight w:val="312" w:hRule="atLeast"/>
        </w:trPr>
        <w:tc>
          <w:tcPr>
            <w:tcW w:w="809"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功能分类科目编码</w:t>
            </w:r>
          </w:p>
        </w:tc>
        <w:tc>
          <w:tcPr>
            <w:tcW w:w="2801"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科目名称</w:t>
            </w:r>
          </w:p>
        </w:tc>
        <w:tc>
          <w:tcPr>
            <w:tcW w:w="115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8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21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51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4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1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511" w:hRule="atLeast"/>
        </w:trPr>
        <w:tc>
          <w:tcPr>
            <w:tcW w:w="80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280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15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8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21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51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4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1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4" w:hRule="atLeast"/>
        </w:trPr>
        <w:tc>
          <w:tcPr>
            <w:tcW w:w="361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8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21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51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4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1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shd w:val="clear" w:color="auto" w:fill="auto"/>
          <w:tblCellMar>
            <w:top w:w="0" w:type="dxa"/>
            <w:left w:w="0" w:type="dxa"/>
            <w:bottom w:w="0" w:type="dxa"/>
            <w:right w:w="0" w:type="dxa"/>
          </w:tblCellMar>
        </w:tblPrEx>
        <w:trPr>
          <w:trHeight w:val="224" w:hRule="atLeast"/>
        </w:trPr>
        <w:tc>
          <w:tcPr>
            <w:tcW w:w="361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30,248.47</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1,845.49</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28,402.97</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292"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社会保障和就业支出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358.78</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356.26</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2.52</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12"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行政事业单位离退休</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320.58</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318.06</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2.52</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67"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2080501</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归口管理的行政单位离退休</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110.07</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110.07</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72"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2080502</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事业单位离退休</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27.03</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24.51</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2.52</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813"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2080505</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机关事业单位基本养老保险缴费支出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182.27</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182.27</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37"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2080599</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其他行政事业单位离退休支出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1.20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1.20</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573"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20827</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财政对其他社会保险基金的补助</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38.20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38.20</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52"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2082702</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财政对工伤保险基金的补助</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38.20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38.20</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24"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医疗卫生与计划生育支出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9.99</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9.99</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92"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21011</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行政事业单位医疗</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9.99</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9.99</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12"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2101102</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事业单位医疗</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9.99</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9.99</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77"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211</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节能环保支出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29"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21110</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能源节约利用</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12"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2111001</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能源节约利用</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182.00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33"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212</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城乡社区支出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6,600.00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6,600.00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08"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21208</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国有土地使用权出让收入及对应专项债务收入安排的支出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6,600.00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6,600.00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543"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2120899</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其他国有土地使用权出让收入安排的支出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6,600.00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6,600.00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53"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农林水支出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23,000.06</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1,381.61</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21,618.45</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43"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水利</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19,211.06</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1,381.61</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17,829.45</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12"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2130301</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行政运行</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440.96</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428.36</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12.60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67"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2130304</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水利行业业务管理</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12.42</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12.42</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18"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2130305</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水利工程建设</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4,622.00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4,622.00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4"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2130306</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水利工程运行与维护</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8,697.76</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332.76</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8,365.00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92"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2130309</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水利执法监督</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11.50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11.50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7"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2130310</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水土保持</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167.82</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50.22</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117.60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558"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2130311</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水资源节约管理与保护</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3,873.48</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185.66</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3,687.83</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62"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2130313</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水文测报</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20.00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20.00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67"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2130314</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防汛</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496.49</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109.82</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386.67</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37"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2130316</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农田水利</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39.60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39.60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53"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2130321</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大中型水库移民后期扶持专项支出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36.00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36.00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67"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2130334</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水利建设移民支出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39.00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39.00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67"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2130399</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其他水利支出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754.03</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274.79</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479.23</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58"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21304</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南水北调</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1,112.00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1,112.00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63"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2130404</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南水北调工程建设</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1,112.00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1,112.00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63"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21369</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国家重大水利工程建设基金及对应专项债务收入安排的支出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2,677.00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2,677.00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14"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2136901</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南水北调工程建设</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2,677.00</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2,677.00</w:t>
            </w: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187"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221</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住房保障支出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97.63</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97.63</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47"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22102</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住房改革支出</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97.63</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97.63</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27" w:hRule="atLeast"/>
        </w:trPr>
        <w:tc>
          <w:tcPr>
            <w:tcW w:w="80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2210201</w:t>
            </w:r>
          </w:p>
        </w:tc>
        <w:tc>
          <w:tcPr>
            <w:tcW w:w="28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住房公积金</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97.63</w:t>
            </w:r>
          </w:p>
        </w:tc>
        <w:tc>
          <w:tcPr>
            <w:tcW w:w="18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97.63</w:t>
            </w:r>
          </w:p>
        </w:tc>
        <w:tc>
          <w:tcPr>
            <w:tcW w:w="121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5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4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512" w:hRule="atLeast"/>
        </w:trPr>
        <w:tc>
          <w:tcPr>
            <w:tcW w:w="9880" w:type="dxa"/>
            <w:gridSpan w:val="10"/>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9120" w:type="dxa"/>
        <w:tblInd w:w="0" w:type="dxa"/>
        <w:tblLayout w:type="fixed"/>
        <w:tblCellMar>
          <w:top w:w="0" w:type="dxa"/>
          <w:left w:w="0" w:type="dxa"/>
          <w:bottom w:w="0" w:type="dxa"/>
          <w:right w:w="0" w:type="dxa"/>
        </w:tblCellMar>
      </w:tblPr>
      <w:tblGrid>
        <w:gridCol w:w="1751"/>
        <w:gridCol w:w="760"/>
        <w:gridCol w:w="330"/>
        <w:gridCol w:w="866"/>
        <w:gridCol w:w="2167"/>
        <w:gridCol w:w="194"/>
        <w:gridCol w:w="367"/>
        <w:gridCol w:w="662"/>
        <w:gridCol w:w="231"/>
        <w:gridCol w:w="610"/>
        <w:gridCol w:w="283"/>
        <w:gridCol w:w="899"/>
      </w:tblGrid>
      <w:tr>
        <w:tblPrEx>
          <w:tblCellMar>
            <w:top w:w="0" w:type="dxa"/>
            <w:left w:w="0" w:type="dxa"/>
            <w:bottom w:w="0" w:type="dxa"/>
            <w:right w:w="0" w:type="dxa"/>
          </w:tblCellMar>
        </w:tblPrEx>
        <w:trPr>
          <w:trHeight w:val="411" w:hRule="atLeast"/>
        </w:trPr>
        <w:tc>
          <w:tcPr>
            <w:tcW w:w="9120" w:type="dxa"/>
            <w:gridSpan w:val="12"/>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_x0000_s1101" o:spid="_x0000_s1101" o:spt="203" style="position:absolute;left:0pt;margin-left:-80.9pt;margin-top:-81.1pt;height:41.2pt;width:243.2pt;mso-position-vertical-relative:page;z-index:251676672;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v:rect id="矩形 13" o:spid="_x0000_s1103" o:spt="1" style="position:absolute;left:4551;top:52615;height:1175;width:8546;v-text-anchor:middle;" fillcolor="#D9D9D9"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2"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210" w:hRule="atLeast"/>
        </w:trPr>
        <w:tc>
          <w:tcPr>
            <w:tcW w:w="175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rPr>
                <w:rFonts w:ascii="Arial" w:hAnsi="Arial" w:cs="Arial"/>
                <w:color w:val="000000"/>
                <w:sz w:val="20"/>
                <w:szCs w:val="20"/>
              </w:rPr>
            </w:pPr>
          </w:p>
        </w:tc>
        <w:tc>
          <w:tcPr>
            <w:tcW w:w="760"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rPr>
                <w:rFonts w:ascii="Arial" w:hAnsi="Arial" w:cs="Arial"/>
                <w:color w:val="000000"/>
                <w:sz w:val="20"/>
                <w:szCs w:val="20"/>
              </w:rPr>
            </w:pPr>
          </w:p>
        </w:tc>
        <w:tc>
          <w:tcPr>
            <w:tcW w:w="330"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rPr>
                <w:rFonts w:ascii="Arial" w:hAnsi="Arial" w:cs="Arial"/>
                <w:color w:val="000000"/>
                <w:sz w:val="20"/>
                <w:szCs w:val="20"/>
              </w:rPr>
            </w:pPr>
          </w:p>
        </w:tc>
        <w:tc>
          <w:tcPr>
            <w:tcW w:w="3033" w:type="dxa"/>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rPr>
                <w:rFonts w:ascii="Arial" w:hAnsi="Arial" w:cs="Arial"/>
                <w:color w:val="000000"/>
                <w:sz w:val="20"/>
                <w:szCs w:val="20"/>
              </w:rPr>
            </w:pPr>
          </w:p>
        </w:tc>
        <w:tc>
          <w:tcPr>
            <w:tcW w:w="561" w:type="dxa"/>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rPr>
                <w:rFonts w:ascii="Arial" w:hAnsi="Arial" w:cs="Arial"/>
                <w:color w:val="000000"/>
                <w:sz w:val="20"/>
                <w:szCs w:val="20"/>
              </w:rPr>
            </w:pPr>
          </w:p>
        </w:tc>
        <w:tc>
          <w:tcPr>
            <w:tcW w:w="662"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rPr>
                <w:rFonts w:ascii="Arial" w:hAnsi="Arial" w:cs="Arial"/>
                <w:color w:val="000000"/>
                <w:sz w:val="20"/>
                <w:szCs w:val="20"/>
              </w:rPr>
            </w:pPr>
          </w:p>
        </w:tc>
        <w:tc>
          <w:tcPr>
            <w:tcW w:w="841" w:type="dxa"/>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rPr>
                <w:rFonts w:ascii="Arial" w:hAnsi="Arial" w:cs="Arial"/>
                <w:color w:val="000000"/>
                <w:sz w:val="20"/>
                <w:szCs w:val="20"/>
              </w:rPr>
            </w:pPr>
          </w:p>
        </w:tc>
        <w:tc>
          <w:tcPr>
            <w:tcW w:w="1182" w:type="dxa"/>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210" w:hRule="atLeast"/>
        </w:trPr>
        <w:tc>
          <w:tcPr>
            <w:tcW w:w="6435" w:type="dxa"/>
            <w:gridSpan w:val="7"/>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部门：邯郸市水利局（汇总）</w:t>
            </w:r>
          </w:p>
        </w:tc>
        <w:tc>
          <w:tcPr>
            <w:tcW w:w="662"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rPr>
                <w:rFonts w:ascii="Arial" w:hAnsi="Arial" w:cs="Arial"/>
                <w:color w:val="000000"/>
                <w:sz w:val="20"/>
                <w:szCs w:val="20"/>
              </w:rPr>
            </w:pPr>
          </w:p>
        </w:tc>
        <w:tc>
          <w:tcPr>
            <w:tcW w:w="2023" w:type="dxa"/>
            <w:gridSpan w:val="4"/>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17" w:hRule="atLeast"/>
        </w:trPr>
        <w:tc>
          <w:tcPr>
            <w:tcW w:w="284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27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618" w:hRule="atLeast"/>
        </w:trPr>
        <w:tc>
          <w:tcPr>
            <w:tcW w:w="251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6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rPr>
                <w:rFonts w:ascii="宋体" w:hAnsi="宋体" w:cs="宋体"/>
                <w:color w:val="000000"/>
                <w:sz w:val="18"/>
                <w:szCs w:val="18"/>
              </w:rPr>
            </w:pP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520" w:hRule="atLeast"/>
        </w:trPr>
        <w:tc>
          <w:tcPr>
            <w:tcW w:w="251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18"/>
                <w:szCs w:val="18"/>
                <w:u w:val="none"/>
                <w:lang w:val="en-US" w:eastAsia="zh-CN" w:bidi="ar"/>
              </w:rPr>
              <w:t xml:space="preserve">21065.87 </w:t>
            </w: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520" w:hRule="atLeast"/>
        </w:trPr>
        <w:tc>
          <w:tcPr>
            <w:tcW w:w="251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18"/>
                <w:szCs w:val="18"/>
                <w:u w:val="none"/>
                <w:lang w:val="en-US" w:eastAsia="zh-CN" w:bidi="ar"/>
              </w:rPr>
              <w:t xml:space="preserve">9277.00 </w:t>
            </w: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358.78 </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358.78 </w:t>
            </w: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9.99 </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9.99 </w:t>
            </w: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182.00 </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182.00 </w:t>
            </w: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6600.00 </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6600.00 </w:t>
            </w: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23000.06 </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20323.06 </w:t>
            </w: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2677.00 </w:t>
            </w: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97.63 </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97.63 </w:t>
            </w: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520" w:hRule="atLeast"/>
        </w:trPr>
        <w:tc>
          <w:tcPr>
            <w:tcW w:w="251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18"/>
                <w:szCs w:val="18"/>
                <w:u w:val="none"/>
                <w:lang w:val="en-US" w:eastAsia="zh-CN" w:bidi="ar"/>
              </w:rPr>
              <w:t xml:space="preserve">30342.87 </w:t>
            </w: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30248.47 </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20971.47 </w:t>
            </w: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9277.00 </w:t>
            </w:r>
          </w:p>
        </w:tc>
      </w:tr>
      <w:tr>
        <w:tblPrEx>
          <w:tblCellMar>
            <w:top w:w="0" w:type="dxa"/>
            <w:left w:w="0" w:type="dxa"/>
            <w:bottom w:w="0" w:type="dxa"/>
            <w:right w:w="0" w:type="dxa"/>
          </w:tblCellMar>
        </w:tblPrEx>
        <w:trPr>
          <w:trHeight w:val="520" w:hRule="atLeast"/>
        </w:trPr>
        <w:tc>
          <w:tcPr>
            <w:tcW w:w="251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18"/>
                <w:szCs w:val="18"/>
                <w:u w:val="none"/>
                <w:lang w:val="en-US" w:eastAsia="zh-CN" w:bidi="ar"/>
              </w:rPr>
              <w:t xml:space="preserve">4529.79 </w:t>
            </w: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4624.19 </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4624.19 </w:t>
            </w: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514" w:hRule="atLeast"/>
        </w:trPr>
        <w:tc>
          <w:tcPr>
            <w:tcW w:w="251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18"/>
                <w:szCs w:val="18"/>
                <w:u w:val="none"/>
                <w:lang w:val="en-US" w:eastAsia="zh-CN" w:bidi="ar"/>
              </w:rPr>
              <w:t xml:space="preserve">4529.79 </w:t>
            </w: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217" w:hRule="atLeast"/>
        </w:trPr>
        <w:tc>
          <w:tcPr>
            <w:tcW w:w="251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rPr>
                <w:rFonts w:ascii="宋体" w:hAnsi="宋体" w:cs="宋体"/>
                <w:color w:val="000000"/>
                <w:sz w:val="18"/>
                <w:szCs w:val="18"/>
              </w:rPr>
            </w:pP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ascii="宋体" w:hAnsi="宋体" w:cs="宋体"/>
                <w:color w:val="000000"/>
                <w:sz w:val="18"/>
                <w:szCs w:val="18"/>
              </w:rPr>
            </w:pPr>
          </w:p>
        </w:tc>
      </w:tr>
      <w:tr>
        <w:tblPrEx>
          <w:tblCellMar>
            <w:top w:w="0" w:type="dxa"/>
            <w:left w:w="0" w:type="dxa"/>
            <w:bottom w:w="0" w:type="dxa"/>
            <w:right w:w="0" w:type="dxa"/>
          </w:tblCellMar>
        </w:tblPrEx>
        <w:trPr>
          <w:trHeight w:val="520" w:hRule="atLeast"/>
        </w:trPr>
        <w:tc>
          <w:tcPr>
            <w:tcW w:w="251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18"/>
                <w:szCs w:val="18"/>
                <w:u w:val="none"/>
                <w:lang w:val="en-US" w:eastAsia="zh-CN" w:bidi="ar"/>
              </w:rPr>
              <w:t xml:space="preserve">34872.65 </w:t>
            </w:r>
          </w:p>
        </w:tc>
        <w:tc>
          <w:tcPr>
            <w:tcW w:w="236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34872.65 </w:t>
            </w:r>
          </w:p>
        </w:tc>
        <w:tc>
          <w:tcPr>
            <w:tcW w:w="8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25595.65 </w:t>
            </w:r>
          </w:p>
        </w:tc>
        <w:tc>
          <w:tcPr>
            <w:tcW w:w="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ascii="宋体" w:hAnsi="宋体" w:cs="宋体"/>
                <w:color w:val="000000"/>
                <w:sz w:val="18"/>
                <w:szCs w:val="18"/>
              </w:rPr>
            </w:pPr>
            <w:r>
              <w:rPr>
                <w:rFonts w:hint="default" w:ascii="Arial" w:hAnsi="Arial" w:eastAsia="宋体" w:cs="Arial"/>
                <w:i w:val="0"/>
                <w:color w:val="000000"/>
                <w:kern w:val="0"/>
                <w:sz w:val="20"/>
                <w:szCs w:val="20"/>
                <w:u w:val="none"/>
                <w:lang w:val="en-US" w:eastAsia="zh-CN" w:bidi="ar"/>
              </w:rPr>
              <w:t xml:space="preserve">9277.00 </w:t>
            </w:r>
          </w:p>
        </w:tc>
      </w:tr>
      <w:tr>
        <w:tblPrEx>
          <w:tblCellMar>
            <w:top w:w="0" w:type="dxa"/>
            <w:left w:w="0" w:type="dxa"/>
            <w:bottom w:w="0" w:type="dxa"/>
            <w:right w:w="0" w:type="dxa"/>
          </w:tblCellMar>
        </w:tblPrEx>
        <w:trPr>
          <w:trHeight w:val="217" w:hRule="atLeast"/>
        </w:trPr>
        <w:tc>
          <w:tcPr>
            <w:tcW w:w="9120" w:type="dxa"/>
            <w:gridSpan w:val="12"/>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9260" w:type="dxa"/>
        <w:tblInd w:w="0" w:type="dxa"/>
        <w:shd w:val="clear" w:color="auto" w:fill="auto"/>
        <w:tblLayout w:type="autofit"/>
        <w:tblCellMar>
          <w:top w:w="0" w:type="dxa"/>
          <w:left w:w="0" w:type="dxa"/>
          <w:bottom w:w="0" w:type="dxa"/>
          <w:right w:w="0" w:type="dxa"/>
        </w:tblCellMar>
      </w:tblPr>
      <w:tblGrid>
        <w:gridCol w:w="2649"/>
        <w:gridCol w:w="36"/>
        <w:gridCol w:w="36"/>
        <w:gridCol w:w="3454"/>
        <w:gridCol w:w="875"/>
        <w:gridCol w:w="761"/>
        <w:gridCol w:w="1449"/>
      </w:tblGrid>
      <w:tr>
        <w:tblPrEx>
          <w:shd w:val="clear" w:color="auto" w:fill="auto"/>
          <w:tblCellMar>
            <w:top w:w="0" w:type="dxa"/>
            <w:left w:w="0" w:type="dxa"/>
            <w:bottom w:w="0" w:type="dxa"/>
            <w:right w:w="0" w:type="dxa"/>
          </w:tblCellMar>
        </w:tblPrEx>
        <w:trPr>
          <w:trHeight w:val="90" w:hRule="atLeast"/>
        </w:trPr>
        <w:tc>
          <w:tcPr>
            <w:tcW w:w="926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bidi="ar"/>
              </w:rPr>
              <w:t>一般公共预算财政拨款支出决算表</w:t>
            </w:r>
          </w:p>
        </w:tc>
      </w:tr>
      <w:tr>
        <w:tblPrEx>
          <w:shd w:val="clear" w:color="auto" w:fill="auto"/>
          <w:tblCellMar>
            <w:top w:w="0" w:type="dxa"/>
            <w:left w:w="0" w:type="dxa"/>
            <w:bottom w:w="0" w:type="dxa"/>
            <w:right w:w="0" w:type="dxa"/>
          </w:tblCellMar>
        </w:tblPrEx>
        <w:trPr>
          <w:trHeight w:val="227"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公开05表</w:t>
            </w:r>
          </w:p>
        </w:tc>
      </w:tr>
      <w:tr>
        <w:tblPrEx>
          <w:tblCellMar>
            <w:top w:w="0" w:type="dxa"/>
            <w:left w:w="0" w:type="dxa"/>
            <w:bottom w:w="0" w:type="dxa"/>
            <w:right w:w="0" w:type="dxa"/>
          </w:tblCellMar>
        </w:tblPrEx>
        <w:trPr>
          <w:trHeight w:val="227"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部门：邯郸市水利局（汇总）</w:t>
            </w: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trHeight w:val="232"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307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本年支出</w:t>
            </w:r>
          </w:p>
        </w:tc>
      </w:tr>
      <w:tr>
        <w:tblPrEx>
          <w:tblCellMar>
            <w:top w:w="0" w:type="dxa"/>
            <w:left w:w="0" w:type="dxa"/>
            <w:bottom w:w="0" w:type="dxa"/>
            <w:right w:w="0" w:type="dxa"/>
          </w:tblCellMar>
        </w:tblPrEx>
        <w:trPr>
          <w:trHeight w:val="312" w:hRule="atLeast"/>
        </w:trPr>
        <w:tc>
          <w:tcPr>
            <w:tcW w:w="272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功能分类科目编码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科目名称</w:t>
            </w:r>
          </w:p>
        </w:tc>
        <w:tc>
          <w:tcPr>
            <w:tcW w:w="8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基本支出</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项目支出</w:t>
            </w:r>
          </w:p>
        </w:tc>
      </w:tr>
      <w:tr>
        <w:tblPrEx>
          <w:tblCellMar>
            <w:top w:w="0" w:type="dxa"/>
            <w:left w:w="0" w:type="dxa"/>
            <w:bottom w:w="0" w:type="dxa"/>
            <w:right w:w="0" w:type="dxa"/>
          </w:tblCellMar>
        </w:tblPrEx>
        <w:trPr>
          <w:trHeight w:val="312" w:hRule="atLeast"/>
        </w:trPr>
        <w:tc>
          <w:tcPr>
            <w:tcW w:w="27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32"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r>
      <w:tr>
        <w:tblPrEx>
          <w:tblCellMar>
            <w:top w:w="0" w:type="dxa"/>
            <w:left w:w="0" w:type="dxa"/>
            <w:bottom w:w="0" w:type="dxa"/>
            <w:right w:w="0" w:type="dxa"/>
          </w:tblCellMar>
        </w:tblPrEx>
        <w:trPr>
          <w:trHeight w:val="257"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20971.47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1845.49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19125.97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社会保障和就业支出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358.78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356.26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2.52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行政事业单位离退休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320.58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318.06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2.52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归口管理的行政单位离退休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110.07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110.07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r>
      <w:tr>
        <w:tblPrEx>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事业单位离退休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27.03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24.51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2.52 </w:t>
            </w:r>
          </w:p>
        </w:tc>
      </w:tr>
      <w:tr>
        <w:tblPrEx>
          <w:shd w:val="clear" w:color="auto" w:fill="auto"/>
          <w:tblCellMar>
            <w:top w:w="0" w:type="dxa"/>
            <w:left w:w="0" w:type="dxa"/>
            <w:bottom w:w="0" w:type="dxa"/>
            <w:right w:w="0" w:type="dxa"/>
          </w:tblCellMar>
        </w:tblPrEx>
        <w:trPr>
          <w:trHeight w:val="277"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机关事业单位基本养老保险缴费支出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182.27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182.27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其他行政事业单位离退休支出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财政对其他社会保险基金的补助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38.20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38.20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2082702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财政对工伤保险基金的补助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38.20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38.20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医疗卫生与计划生育支出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r>
      <w:tr>
        <w:tblPrEx>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行政事业单位医疗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2101102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事业单位医疗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节能环保支出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182.00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能源节约利用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182.00 </w:t>
            </w:r>
          </w:p>
        </w:tc>
      </w:tr>
      <w:tr>
        <w:tblPrEx>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2111001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能源节约利用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182.00 </w:t>
            </w:r>
          </w:p>
        </w:tc>
      </w:tr>
      <w:tr>
        <w:tblPrEx>
          <w:shd w:val="clear" w:color="auto" w:fill="auto"/>
          <w:tblCellMar>
            <w:top w:w="0" w:type="dxa"/>
            <w:left w:w="0" w:type="dxa"/>
            <w:bottom w:w="0" w:type="dxa"/>
            <w:right w:w="0" w:type="dxa"/>
          </w:tblCellMar>
        </w:tblPrEx>
        <w:trPr>
          <w:trHeight w:val="257"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20323.06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1381.61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18941.45 </w:t>
            </w:r>
          </w:p>
        </w:tc>
      </w:tr>
      <w:tr>
        <w:tblPrEx>
          <w:shd w:val="clear" w:color="auto" w:fill="auto"/>
          <w:tblCellMar>
            <w:top w:w="0" w:type="dxa"/>
            <w:left w:w="0" w:type="dxa"/>
            <w:bottom w:w="0" w:type="dxa"/>
            <w:right w:w="0" w:type="dxa"/>
          </w:tblCellMar>
        </w:tblPrEx>
        <w:trPr>
          <w:trHeight w:val="257"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19211.06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1381.61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17829.45 </w:t>
            </w:r>
          </w:p>
        </w:tc>
      </w:tr>
      <w:tr>
        <w:tblPrEx>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行政运行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440.96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428.36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12.60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水利行业业务管理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12.42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水利工程建设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4622.00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4622.00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水利工程运行与维护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8697.76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332.76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8365.00 </w:t>
            </w:r>
          </w:p>
        </w:tc>
      </w:tr>
      <w:tr>
        <w:tblPrEx>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水利执法监督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11.50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水土保持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167.82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117.60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水资源节约管理与保护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3873.48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185.66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3687.83 </w:t>
            </w:r>
          </w:p>
        </w:tc>
      </w:tr>
      <w:tr>
        <w:tblPrEx>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水文测报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 </w:t>
            </w:r>
          </w:p>
        </w:tc>
      </w:tr>
      <w:tr>
        <w:tblPrEx>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防汛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496.49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109.82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386.67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农田水利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39.60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39.60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大中型水库移民后期扶持专项支出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36.00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水利建设移民支出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39.00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2130399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其他水利支出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754.03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274.79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479.23 </w:t>
            </w:r>
          </w:p>
        </w:tc>
      </w:tr>
      <w:tr>
        <w:tblPrEx>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南水北调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1112.00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1112.00 </w:t>
            </w:r>
          </w:p>
        </w:tc>
      </w:tr>
      <w:tr>
        <w:tblPrEx>
          <w:shd w:val="clear" w:color="auto" w:fill="auto"/>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2130404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南水北调工程建设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1112.00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1112.00 </w:t>
            </w:r>
          </w:p>
        </w:tc>
      </w:tr>
      <w:tr>
        <w:tblPrEx>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住房保障支出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97.63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97.63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r>
      <w:tr>
        <w:tblPrEx>
          <w:tblCellMar>
            <w:top w:w="0" w:type="dxa"/>
            <w:left w:w="0" w:type="dxa"/>
            <w:bottom w:w="0" w:type="dxa"/>
            <w:right w:w="0" w:type="dxa"/>
          </w:tblCellMar>
        </w:tblPrEx>
        <w:trPr>
          <w:trHeight w:val="232"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住房改革支出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97.63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97.63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r>
      <w:tr>
        <w:tblPrEx>
          <w:tblCellMar>
            <w:top w:w="0" w:type="dxa"/>
            <w:left w:w="0" w:type="dxa"/>
            <w:bottom w:w="0" w:type="dxa"/>
            <w:right w:w="0" w:type="dxa"/>
          </w:tblCellMar>
        </w:tblPrEx>
        <w:trPr>
          <w:trHeight w:val="237"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2210201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住房公积金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97.63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97.63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9480" w:type="dxa"/>
        <w:tblInd w:w="0" w:type="dxa"/>
        <w:shd w:val="clear" w:color="auto" w:fill="auto"/>
        <w:tblLayout w:type="fixed"/>
        <w:tblCellMar>
          <w:top w:w="0" w:type="dxa"/>
          <w:left w:w="0" w:type="dxa"/>
          <w:bottom w:w="0" w:type="dxa"/>
          <w:right w:w="0" w:type="dxa"/>
        </w:tblCellMar>
      </w:tblPr>
      <w:tblGrid>
        <w:gridCol w:w="654"/>
        <w:gridCol w:w="1005"/>
        <w:gridCol w:w="1095"/>
        <w:gridCol w:w="342"/>
        <w:gridCol w:w="498"/>
        <w:gridCol w:w="1245"/>
        <w:gridCol w:w="885"/>
        <w:gridCol w:w="1140"/>
        <w:gridCol w:w="1695"/>
        <w:gridCol w:w="921"/>
      </w:tblGrid>
      <w:tr>
        <w:tblPrEx>
          <w:tblCellMar>
            <w:top w:w="0" w:type="dxa"/>
            <w:left w:w="0" w:type="dxa"/>
            <w:bottom w:w="0" w:type="dxa"/>
            <w:right w:w="0" w:type="dxa"/>
          </w:tblCellMar>
        </w:tblPrEx>
        <w:trPr>
          <w:trHeight w:val="669" w:hRule="atLeast"/>
        </w:trPr>
        <w:tc>
          <w:tcPr>
            <w:tcW w:w="9480" w:type="dxa"/>
            <w:gridSpan w:val="10"/>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bidi="ar"/>
              </w:rPr>
              <w:t>一般公共预算财政拨款基本支出决算表</w:t>
            </w:r>
          </w:p>
        </w:tc>
      </w:tr>
      <w:tr>
        <w:tblPrEx>
          <w:shd w:val="clear" w:color="auto" w:fill="auto"/>
          <w:tblCellMar>
            <w:top w:w="0" w:type="dxa"/>
            <w:left w:w="0" w:type="dxa"/>
            <w:bottom w:w="0" w:type="dxa"/>
            <w:right w:w="0" w:type="dxa"/>
          </w:tblCellMar>
        </w:tblPrEx>
        <w:trPr>
          <w:trHeight w:val="424" w:hRule="atLeast"/>
        </w:trPr>
        <w:tc>
          <w:tcPr>
            <w:tcW w:w="654"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eastAsia" w:ascii="Arial" w:hAnsi="Arial" w:cs="Arial"/>
                <w:i w:val="0"/>
                <w:color w:val="000000"/>
                <w:sz w:val="20"/>
                <w:szCs w:val="20"/>
                <w:u w:val="none"/>
              </w:rPr>
            </w:pPr>
          </w:p>
        </w:tc>
        <w:tc>
          <w:tcPr>
            <w:tcW w:w="1005"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095"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342"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743" w:type="dxa"/>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85"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4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92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公开06表</w:t>
            </w:r>
          </w:p>
        </w:tc>
      </w:tr>
      <w:tr>
        <w:tblPrEx>
          <w:shd w:val="clear" w:color="auto" w:fill="auto"/>
          <w:tblCellMar>
            <w:top w:w="0" w:type="dxa"/>
            <w:left w:w="0" w:type="dxa"/>
            <w:bottom w:w="0" w:type="dxa"/>
            <w:right w:w="0" w:type="dxa"/>
          </w:tblCellMar>
        </w:tblPrEx>
        <w:trPr>
          <w:trHeight w:val="424" w:hRule="atLeast"/>
        </w:trPr>
        <w:tc>
          <w:tcPr>
            <w:tcW w:w="4839" w:type="dxa"/>
            <w:gridSpan w:val="6"/>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部门：邯郸市水利局（汇总）</w:t>
            </w:r>
          </w:p>
        </w:tc>
        <w:tc>
          <w:tcPr>
            <w:tcW w:w="885"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4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92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trHeight w:val="443" w:hRule="atLeast"/>
        </w:trPr>
        <w:tc>
          <w:tcPr>
            <w:tcW w:w="27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人员经费</w:t>
            </w:r>
          </w:p>
        </w:tc>
        <w:tc>
          <w:tcPr>
            <w:tcW w:w="6726" w:type="dxa"/>
            <w:gridSpan w:val="7"/>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公用经费</w:t>
            </w:r>
          </w:p>
        </w:tc>
      </w:tr>
      <w:tr>
        <w:tblPrEx>
          <w:tblCellMar>
            <w:top w:w="0" w:type="dxa"/>
            <w:left w:w="0" w:type="dxa"/>
            <w:bottom w:w="0" w:type="dxa"/>
            <w:right w:w="0" w:type="dxa"/>
          </w:tblCellMar>
        </w:tblPrEx>
        <w:trPr>
          <w:trHeight w:val="339" w:hRule="atLeast"/>
        </w:trPr>
        <w:tc>
          <w:tcPr>
            <w:tcW w:w="654"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科目编码</w:t>
            </w:r>
          </w:p>
        </w:tc>
        <w:tc>
          <w:tcPr>
            <w:tcW w:w="100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科目名称</w:t>
            </w:r>
          </w:p>
        </w:tc>
        <w:tc>
          <w:tcPr>
            <w:tcW w:w="109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决算数</w:t>
            </w:r>
          </w:p>
        </w:tc>
        <w:tc>
          <w:tcPr>
            <w:tcW w:w="840"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科目编码</w:t>
            </w:r>
          </w:p>
        </w:tc>
        <w:tc>
          <w:tcPr>
            <w:tcW w:w="124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科目名称</w:t>
            </w:r>
          </w:p>
        </w:tc>
        <w:tc>
          <w:tcPr>
            <w:tcW w:w="88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决算数</w:t>
            </w:r>
          </w:p>
        </w:tc>
        <w:tc>
          <w:tcPr>
            <w:tcW w:w="11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科目编码</w:t>
            </w:r>
          </w:p>
        </w:tc>
        <w:tc>
          <w:tcPr>
            <w:tcW w:w="169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科目名称</w:t>
            </w:r>
          </w:p>
        </w:tc>
        <w:tc>
          <w:tcPr>
            <w:tcW w:w="92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决算数</w:t>
            </w:r>
          </w:p>
        </w:tc>
      </w:tr>
      <w:tr>
        <w:tblPrEx>
          <w:tblCellMar>
            <w:top w:w="0" w:type="dxa"/>
            <w:left w:w="0" w:type="dxa"/>
            <w:bottom w:w="0" w:type="dxa"/>
            <w:right w:w="0" w:type="dxa"/>
          </w:tblCellMar>
        </w:tblPrEx>
        <w:trPr>
          <w:trHeight w:val="374" w:hRule="atLeast"/>
        </w:trPr>
        <w:tc>
          <w:tcPr>
            <w:tcW w:w="654"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00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09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840"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24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88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1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69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92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70"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工资福利支出</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1482.34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商品和服务支出</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235.65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307</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债务利息及费用支出</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30101</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基本工资</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434.22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办公费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39.79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30701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国内债务付息</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30102</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津贴补贴</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254.07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30202</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印刷费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11.14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30702</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国外债务付息</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30103</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奖金</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169.79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30203</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咨询费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资本性支出</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30106</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伙食补助费</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30204</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手续费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房屋建筑物购建</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30107</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绩效工资</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211.10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30205</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1.30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31002</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办公设备购置</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918"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30108</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机关事业单位基本养老保险缴费</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202.75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30206</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电费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31003</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专用设备购置</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70"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30109</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职业年金缴费</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21.58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30207</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邮电费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31.78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31005</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基础设施建设</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70"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30110</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职工基本医疗保险缴费</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24.28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30208</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取暖费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5.46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31006</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大型修缮</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70"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30111</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公务员医疗补助缴费</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3.16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30209</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物业管理费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31007</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信息网络及软件购置更新</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70"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30112</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其他社会保障缴费</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5.74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差旅费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51.43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31008</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物资储备</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70"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30113</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住房公积金</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111.43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30212</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因公出国（境）费用</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31009</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土地补偿</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30114</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医疗费</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30213</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维修（护）费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3.99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安置补助</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70"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30199</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其他工资福利支出</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44.22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30214</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租赁费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地上附着物和青苗补偿</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670"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对个人和家庭的补助</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127.50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30215</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会议费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31012</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拆迁补偿</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30301</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离休费</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53.09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30216</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培训费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3.14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31013</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公务用车购置</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30302</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退休费</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30217</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公务接待费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1.98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31019</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其他交通工具购置</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30303</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退职（役）费</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30218</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专用材料费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31021</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文物和陈列品购置</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30304</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抚恤金</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4.18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30224</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被装购置费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31022</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无形资产购置</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30305</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生活补助</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10.92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30225</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专用燃料费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31099</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其他资本性支出</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30306</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救济费</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30226</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劳务费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其他支出</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30307</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医疗费补助</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30227</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委托业务费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11.53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39906</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赠与</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30308</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助学金</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30228</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工会经费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16.83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39907</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国家赔偿费用支出</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3"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30309</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奖励金</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53.89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30229</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福利费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13.28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39908</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对民间非营利组织和群众性自治组织补贴</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70"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30310</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个人农业生产补贴</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30231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公务用车运行维护费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9.33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39999</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其他支出</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918"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30399</w:t>
            </w: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其他对个人和家庭的补助支出</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5.41 </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30239</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其他交通费用</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15.19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lef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left"/>
              <w:rPr>
                <w:rFonts w:hint="eastAsia" w:ascii="宋体" w:hAnsi="宋体" w:eastAsia="宋体" w:cs="宋体"/>
                <w:i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70"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left"/>
              <w:rPr>
                <w:rFonts w:hint="eastAsia" w:ascii="宋体" w:hAnsi="宋体" w:eastAsia="宋体" w:cs="宋体"/>
                <w:i w:val="0"/>
                <w:color w:val="000000"/>
                <w:sz w:val="20"/>
                <w:szCs w:val="20"/>
                <w:u w:val="none"/>
              </w:rPr>
            </w:pP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30240</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税金及附加费用</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lef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left"/>
              <w:rPr>
                <w:rFonts w:hint="eastAsia" w:ascii="宋体" w:hAnsi="宋体" w:eastAsia="宋体" w:cs="宋体"/>
                <w:i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670" w:hRule="atLeast"/>
        </w:trPr>
        <w:tc>
          <w:tcPr>
            <w:tcW w:w="65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left"/>
              <w:rPr>
                <w:rFonts w:hint="eastAsia" w:ascii="宋体" w:hAnsi="宋体" w:eastAsia="宋体" w:cs="宋体"/>
                <w:i w:val="0"/>
                <w:color w:val="000000"/>
                <w:sz w:val="20"/>
                <w:szCs w:val="20"/>
                <w:u w:val="none"/>
              </w:rPr>
            </w:pPr>
          </w:p>
        </w:tc>
        <w:tc>
          <w:tcPr>
            <w:tcW w:w="100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30299</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其他商品和服务支出</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lef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left"/>
              <w:rPr>
                <w:rFonts w:hint="eastAsia" w:ascii="宋体" w:hAnsi="宋体" w:eastAsia="宋体" w:cs="宋体"/>
                <w:i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63" w:hRule="atLeast"/>
        </w:trPr>
        <w:tc>
          <w:tcPr>
            <w:tcW w:w="165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人员经费合计</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1609.84 </w:t>
            </w:r>
          </w:p>
        </w:tc>
        <w:tc>
          <w:tcPr>
            <w:tcW w:w="58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公用经费合计</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235.65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9015" w:type="dxa"/>
        <w:tblInd w:w="0" w:type="dxa"/>
        <w:shd w:val="clear" w:color="auto" w:fill="auto"/>
        <w:tblLayout w:type="autofit"/>
        <w:tblCellMar>
          <w:top w:w="0" w:type="dxa"/>
          <w:left w:w="0" w:type="dxa"/>
          <w:bottom w:w="0" w:type="dxa"/>
          <w:right w:w="0" w:type="dxa"/>
        </w:tblCellMar>
      </w:tblPr>
      <w:tblGrid>
        <w:gridCol w:w="2630"/>
        <w:gridCol w:w="719"/>
        <w:gridCol w:w="482"/>
        <w:gridCol w:w="291"/>
        <w:gridCol w:w="484"/>
        <w:gridCol w:w="492"/>
        <w:gridCol w:w="606"/>
        <w:gridCol w:w="630"/>
        <w:gridCol w:w="488"/>
        <w:gridCol w:w="279"/>
        <w:gridCol w:w="485"/>
        <w:gridCol w:w="1430"/>
      </w:tblGrid>
      <w:tr>
        <w:tblPrEx>
          <w:shd w:val="clear" w:color="auto" w:fill="auto"/>
          <w:tblCellMar>
            <w:top w:w="0" w:type="dxa"/>
            <w:left w:w="0" w:type="dxa"/>
            <w:bottom w:w="0" w:type="dxa"/>
            <w:right w:w="0" w:type="dxa"/>
          </w:tblCellMar>
        </w:tblPrEx>
        <w:trPr>
          <w:trHeight w:val="510" w:hRule="atLeast"/>
        </w:trPr>
        <w:tc>
          <w:tcPr>
            <w:tcW w:w="9015" w:type="dxa"/>
            <w:gridSpan w:val="12"/>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bidi="ar"/>
              </w:rPr>
              <w:t>一般公共预算财政拨款“三公”经费支出决算表</w:t>
            </w:r>
          </w:p>
        </w:tc>
      </w:tr>
      <w:tr>
        <w:tblPrEx>
          <w:shd w:val="clear" w:color="auto" w:fill="auto"/>
          <w:tblCellMar>
            <w:top w:w="0" w:type="dxa"/>
            <w:left w:w="0" w:type="dxa"/>
            <w:bottom w:w="0" w:type="dxa"/>
            <w:right w:w="0" w:type="dxa"/>
          </w:tblCellMar>
        </w:tblPrEx>
        <w:trPr>
          <w:trHeight w:val="255"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公开07表</w:t>
            </w:r>
          </w:p>
        </w:tc>
      </w:tr>
      <w:tr>
        <w:tblPrEx>
          <w:shd w:val="clear" w:color="auto" w:fill="auto"/>
          <w:tblCellMar>
            <w:top w:w="0" w:type="dxa"/>
            <w:left w:w="0" w:type="dxa"/>
            <w:bottom w:w="0" w:type="dxa"/>
            <w:right w:w="0" w:type="dxa"/>
          </w:tblCellMar>
        </w:tblPrEx>
        <w:trPr>
          <w:trHeight w:val="255" w:hRule="atLeast"/>
        </w:trPr>
        <w:tc>
          <w:tcPr>
            <w:tcW w:w="0" w:type="auto"/>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部门：邯郸市水利局（汇总）</w:t>
            </w:r>
          </w:p>
        </w:tc>
        <w:tc>
          <w:tcPr>
            <w:tcW w:w="0" w:type="auto"/>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trHeight w:val="308" w:hRule="atLeast"/>
        </w:trPr>
        <w:tc>
          <w:tcPr>
            <w:tcW w:w="463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438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决算数</w:t>
            </w:r>
          </w:p>
        </w:tc>
      </w:tr>
      <w:tr>
        <w:tblPrEx>
          <w:shd w:val="clear" w:color="auto" w:fill="auto"/>
          <w:tblCellMar>
            <w:top w:w="0" w:type="dxa"/>
            <w:left w:w="0" w:type="dxa"/>
            <w:bottom w:w="0" w:type="dxa"/>
            <w:right w:w="0" w:type="dxa"/>
          </w:tblCellMar>
        </w:tblPrEx>
        <w:trPr>
          <w:trHeight w:val="308" w:hRule="atLeast"/>
        </w:trPr>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因公出国（境）费</w:t>
            </w:r>
          </w:p>
        </w:tc>
        <w:tc>
          <w:tcPr>
            <w:tcW w:w="217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公务用车购置及运行费</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公务接待费</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4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因公出国（境）费</w:t>
            </w:r>
          </w:p>
        </w:tc>
        <w:tc>
          <w:tcPr>
            <w:tcW w:w="208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公务用车购置及运行费</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公务接待费</w:t>
            </w:r>
          </w:p>
        </w:tc>
      </w:tr>
      <w:tr>
        <w:tblPrEx>
          <w:shd w:val="clear" w:color="auto" w:fill="auto"/>
          <w:tblCellMar>
            <w:top w:w="0" w:type="dxa"/>
            <w:left w:w="0" w:type="dxa"/>
            <w:bottom w:w="0" w:type="dxa"/>
            <w:right w:w="0" w:type="dxa"/>
          </w:tblCellMar>
        </w:tblPrEx>
        <w:trPr>
          <w:trHeight w:val="1060"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公务用车购置费</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公务用车运行费</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4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公务用车购置费</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公务用车运行费</w:t>
            </w: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0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4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r>
      <w:tr>
        <w:tblPrEx>
          <w:shd w:val="clear" w:color="auto" w:fill="auto"/>
          <w:tblCellMar>
            <w:top w:w="0" w:type="dxa"/>
            <w:left w:w="0" w:type="dxa"/>
            <w:bottom w:w="0" w:type="dxa"/>
            <w:right w:w="0" w:type="dxa"/>
          </w:tblCellMar>
        </w:tblPrEx>
        <w:trPr>
          <w:trHeight w:val="3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1.98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9417" w:type="dxa"/>
        <w:tblInd w:w="0" w:type="dxa"/>
        <w:shd w:val="clear" w:color="auto" w:fill="auto"/>
        <w:tblLayout w:type="fixed"/>
        <w:tblCellMar>
          <w:top w:w="0" w:type="dxa"/>
          <w:left w:w="0" w:type="dxa"/>
          <w:bottom w:w="0" w:type="dxa"/>
          <w:right w:w="0" w:type="dxa"/>
        </w:tblCellMar>
      </w:tblPr>
      <w:tblGrid>
        <w:gridCol w:w="477"/>
        <w:gridCol w:w="406"/>
        <w:gridCol w:w="224"/>
        <w:gridCol w:w="2622"/>
        <w:gridCol w:w="675"/>
        <w:gridCol w:w="1170"/>
        <w:gridCol w:w="1125"/>
        <w:gridCol w:w="600"/>
        <w:gridCol w:w="1099"/>
        <w:gridCol w:w="1019"/>
      </w:tblGrid>
      <w:tr>
        <w:tblPrEx>
          <w:tblCellMar>
            <w:top w:w="0" w:type="dxa"/>
            <w:left w:w="0" w:type="dxa"/>
            <w:bottom w:w="0" w:type="dxa"/>
            <w:right w:w="0" w:type="dxa"/>
          </w:tblCellMar>
        </w:tblPrEx>
        <w:trPr>
          <w:trHeight w:val="341" w:hRule="atLeast"/>
        </w:trPr>
        <w:tc>
          <w:tcPr>
            <w:tcW w:w="9417" w:type="dxa"/>
            <w:gridSpan w:val="10"/>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Arial" w:hAnsi="Arial" w:cs="Arial"/>
                <w:i w:val="0"/>
                <w:color w:val="000000"/>
                <w:sz w:val="20"/>
                <w:szCs w:val="20"/>
                <w:u w:val="none"/>
              </w:rPr>
            </w:pPr>
            <w:r>
              <w:rPr>
                <w:rFonts w:hint="eastAsia" w:ascii="黑体" w:hAnsi="宋体" w:eastAsia="黑体" w:cs="黑体"/>
                <w:i w:val="0"/>
                <w:color w:val="000000"/>
                <w:kern w:val="0"/>
                <w:sz w:val="40"/>
                <w:szCs w:val="40"/>
                <w:u w:val="none"/>
                <w:lang w:val="en-US" w:eastAsia="zh-CN" w:bidi="ar"/>
              </w:rPr>
              <w:t>政府性基金预算财政拨款收入支出决算表</w:t>
            </w:r>
          </w:p>
        </w:tc>
      </w:tr>
      <w:tr>
        <w:tblPrEx>
          <w:shd w:val="clear" w:color="auto" w:fill="auto"/>
          <w:tblCellMar>
            <w:top w:w="0" w:type="dxa"/>
            <w:left w:w="0" w:type="dxa"/>
            <w:bottom w:w="0" w:type="dxa"/>
            <w:right w:w="0" w:type="dxa"/>
          </w:tblCellMar>
        </w:tblPrEx>
        <w:trPr>
          <w:trHeight w:val="435" w:hRule="atLeast"/>
        </w:trPr>
        <w:tc>
          <w:tcPr>
            <w:tcW w:w="477"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4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224"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2622"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675"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7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25"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60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09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01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公开08表</w:t>
            </w:r>
          </w:p>
        </w:tc>
      </w:tr>
      <w:tr>
        <w:tblPrEx>
          <w:tblCellMar>
            <w:top w:w="0" w:type="dxa"/>
            <w:left w:w="0" w:type="dxa"/>
            <w:bottom w:w="0" w:type="dxa"/>
            <w:right w:w="0" w:type="dxa"/>
          </w:tblCellMar>
        </w:tblPrEx>
        <w:trPr>
          <w:trHeight w:val="435" w:hRule="atLeast"/>
        </w:trPr>
        <w:tc>
          <w:tcPr>
            <w:tcW w:w="3729" w:type="dxa"/>
            <w:gridSpan w:val="4"/>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部门：邯郸市水利局（汇总）</w:t>
            </w:r>
          </w:p>
        </w:tc>
        <w:tc>
          <w:tcPr>
            <w:tcW w:w="675"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7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125"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60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09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01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trHeight w:val="445" w:hRule="atLeast"/>
        </w:trPr>
        <w:tc>
          <w:tcPr>
            <w:tcW w:w="372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67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年初结转和结余</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本年收入</w:t>
            </w:r>
          </w:p>
        </w:tc>
        <w:tc>
          <w:tcPr>
            <w:tcW w:w="2824"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本年支出</w:t>
            </w:r>
          </w:p>
        </w:tc>
        <w:tc>
          <w:tcPr>
            <w:tcW w:w="101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年末结转和结余</w:t>
            </w:r>
          </w:p>
        </w:tc>
      </w:tr>
      <w:tr>
        <w:tblPrEx>
          <w:shd w:val="clear" w:color="auto" w:fill="auto"/>
          <w:tblCellMar>
            <w:top w:w="0" w:type="dxa"/>
            <w:left w:w="0" w:type="dxa"/>
            <w:bottom w:w="0" w:type="dxa"/>
            <w:right w:w="0" w:type="dxa"/>
          </w:tblCellMar>
        </w:tblPrEx>
        <w:trPr>
          <w:trHeight w:val="333" w:hRule="atLeast"/>
        </w:trPr>
        <w:tc>
          <w:tcPr>
            <w:tcW w:w="1107"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功能分类科目编码</w:t>
            </w:r>
          </w:p>
        </w:tc>
        <w:tc>
          <w:tcPr>
            <w:tcW w:w="2622"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科目名称</w:t>
            </w:r>
          </w:p>
        </w:tc>
        <w:tc>
          <w:tcPr>
            <w:tcW w:w="67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12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6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基本支出</w:t>
            </w:r>
          </w:p>
        </w:tc>
        <w:tc>
          <w:tcPr>
            <w:tcW w:w="109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项目支出</w:t>
            </w:r>
          </w:p>
        </w:tc>
        <w:tc>
          <w:tcPr>
            <w:tcW w:w="101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71" w:hRule="atLeast"/>
        </w:trPr>
        <w:tc>
          <w:tcPr>
            <w:tcW w:w="1107"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26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67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12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6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09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101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5" w:hRule="atLeast"/>
        </w:trPr>
        <w:tc>
          <w:tcPr>
            <w:tcW w:w="372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6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170" w:type="dxa"/>
            <w:tcBorders>
              <w:top w:val="nil"/>
              <w:left w:val="nil"/>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125" w:type="dxa"/>
            <w:tcBorders>
              <w:top w:val="nil"/>
              <w:left w:val="nil"/>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600" w:type="dxa"/>
            <w:tcBorders>
              <w:top w:val="nil"/>
              <w:left w:val="nil"/>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099" w:type="dxa"/>
            <w:tcBorders>
              <w:top w:val="nil"/>
              <w:left w:val="nil"/>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0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tblCellMar>
            <w:top w:w="0" w:type="dxa"/>
            <w:left w:w="0" w:type="dxa"/>
            <w:bottom w:w="0" w:type="dxa"/>
            <w:right w:w="0" w:type="dxa"/>
          </w:tblCellMar>
        </w:tblPrEx>
        <w:trPr>
          <w:trHeight w:val="445" w:hRule="atLeast"/>
        </w:trPr>
        <w:tc>
          <w:tcPr>
            <w:tcW w:w="372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67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9277.00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9277.00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9277.00 </w:t>
            </w:r>
          </w:p>
        </w:tc>
        <w:tc>
          <w:tcPr>
            <w:tcW w:w="10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b/>
                <w:i w:val="0"/>
                <w:color w:val="000000"/>
                <w:sz w:val="20"/>
                <w:szCs w:val="20"/>
                <w:u w:val="none"/>
              </w:rPr>
            </w:pPr>
          </w:p>
        </w:tc>
      </w:tr>
      <w:tr>
        <w:tblPrEx>
          <w:tblCellMar>
            <w:top w:w="0" w:type="dxa"/>
            <w:left w:w="0" w:type="dxa"/>
            <w:bottom w:w="0" w:type="dxa"/>
            <w:right w:w="0" w:type="dxa"/>
          </w:tblCellMar>
        </w:tblPrEx>
        <w:trPr>
          <w:trHeight w:val="445" w:hRule="atLeast"/>
        </w:trPr>
        <w:tc>
          <w:tcPr>
            <w:tcW w:w="11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212</w:t>
            </w:r>
          </w:p>
        </w:tc>
        <w:tc>
          <w:tcPr>
            <w:tcW w:w="2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城乡社区支出</w:t>
            </w:r>
          </w:p>
        </w:tc>
        <w:tc>
          <w:tcPr>
            <w:tcW w:w="67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6600.00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6600.00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6600.00 </w:t>
            </w:r>
          </w:p>
        </w:tc>
        <w:tc>
          <w:tcPr>
            <w:tcW w:w="10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45" w:hRule="atLeast"/>
        </w:trPr>
        <w:tc>
          <w:tcPr>
            <w:tcW w:w="11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21208</w:t>
            </w:r>
          </w:p>
        </w:tc>
        <w:tc>
          <w:tcPr>
            <w:tcW w:w="2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国有土地使用权出让收入及对应专项债务收入安排的支出</w:t>
            </w:r>
          </w:p>
        </w:tc>
        <w:tc>
          <w:tcPr>
            <w:tcW w:w="67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6600.00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6600.00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6600.00 </w:t>
            </w:r>
          </w:p>
        </w:tc>
        <w:tc>
          <w:tcPr>
            <w:tcW w:w="10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5" w:hRule="atLeast"/>
        </w:trPr>
        <w:tc>
          <w:tcPr>
            <w:tcW w:w="11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2120899</w:t>
            </w:r>
          </w:p>
        </w:tc>
        <w:tc>
          <w:tcPr>
            <w:tcW w:w="2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其他国有土地使用权出让收入安排的支出</w:t>
            </w:r>
          </w:p>
        </w:tc>
        <w:tc>
          <w:tcPr>
            <w:tcW w:w="67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6600.00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6600.00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6600.00 </w:t>
            </w:r>
          </w:p>
        </w:tc>
        <w:tc>
          <w:tcPr>
            <w:tcW w:w="10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5" w:hRule="atLeast"/>
        </w:trPr>
        <w:tc>
          <w:tcPr>
            <w:tcW w:w="11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w:t>
            </w:r>
          </w:p>
        </w:tc>
        <w:tc>
          <w:tcPr>
            <w:tcW w:w="2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农林水支出</w:t>
            </w:r>
          </w:p>
        </w:tc>
        <w:tc>
          <w:tcPr>
            <w:tcW w:w="67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2677.00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2677.00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2677.00 </w:t>
            </w:r>
          </w:p>
        </w:tc>
        <w:tc>
          <w:tcPr>
            <w:tcW w:w="10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45" w:hRule="atLeast"/>
        </w:trPr>
        <w:tc>
          <w:tcPr>
            <w:tcW w:w="11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21369</w:t>
            </w:r>
          </w:p>
        </w:tc>
        <w:tc>
          <w:tcPr>
            <w:tcW w:w="2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国家重大水利工程建设基金及对应专项债务收入安排的支出</w:t>
            </w:r>
          </w:p>
        </w:tc>
        <w:tc>
          <w:tcPr>
            <w:tcW w:w="67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2677.00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2677.00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2677.00 </w:t>
            </w:r>
          </w:p>
        </w:tc>
        <w:tc>
          <w:tcPr>
            <w:tcW w:w="10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55" w:hRule="atLeast"/>
        </w:trPr>
        <w:tc>
          <w:tcPr>
            <w:tcW w:w="11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2136901</w:t>
            </w:r>
          </w:p>
        </w:tc>
        <w:tc>
          <w:tcPr>
            <w:tcW w:w="26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南水北调工程建设</w:t>
            </w:r>
          </w:p>
        </w:tc>
        <w:tc>
          <w:tcPr>
            <w:tcW w:w="67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2677.00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2677.00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2677.00 </w:t>
            </w:r>
          </w:p>
        </w:tc>
        <w:tc>
          <w:tcPr>
            <w:tcW w:w="10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_x0000_s1086" o:spid="_x0000_s1086" o:spt="203" style="position:absolute;left:0pt;margin-left:-80.9pt;margin-top:-81.1pt;height:41.2pt;width:243.2pt;mso-position-vertical-relative:page;z-index:25167769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088"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7"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编制单位：邯郸市水利局（汇总）</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rPr>
              <w:t>注：本表反映部门本年度国有资本经营预算财政拨款支出情况。</w:t>
            </w:r>
            <w:r>
              <w:rPr>
                <w:rFonts w:hint="eastAsia" w:ascii="宋体" w:hAnsi="宋体" w:cs="宋体"/>
                <w:color w:val="000000"/>
                <w:kern w:val="0"/>
                <w:sz w:val="22"/>
                <w:szCs w:val="22"/>
                <w:lang w:eastAsia="zh-CN"/>
              </w:rPr>
              <w:t>本部门本年度无相关支出情况，按要求以空表列示。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p>
      <w:pPr>
        <w:widowControl/>
        <w:spacing w:after="0" w:line="560" w:lineRule="exact"/>
        <w:jc w:val="left"/>
        <w:rPr>
          <w:rFonts w:ascii="仿宋_GB2312" w:eastAsia="仿宋_GB2312" w:hAnsiTheme="majorEastAsia"/>
          <w:b/>
          <w:sz w:val="28"/>
          <w:szCs w:val="28"/>
          <w:highlight w:val="yellow"/>
        </w:rPr>
      </w:pPr>
    </w:p>
    <w:tbl>
      <w:tblPr>
        <w:tblStyle w:val="12"/>
        <w:tblW w:w="8874" w:type="dxa"/>
        <w:tblInd w:w="0" w:type="dxa"/>
        <w:shd w:val="clear" w:color="auto" w:fill="auto"/>
        <w:tblLayout w:type="fixed"/>
        <w:tblCellMar>
          <w:top w:w="0" w:type="dxa"/>
          <w:left w:w="0" w:type="dxa"/>
          <w:bottom w:w="0" w:type="dxa"/>
          <w:right w:w="0" w:type="dxa"/>
        </w:tblCellMar>
      </w:tblPr>
      <w:tblGrid>
        <w:gridCol w:w="2914"/>
        <w:gridCol w:w="890"/>
        <w:gridCol w:w="658"/>
        <w:gridCol w:w="859"/>
        <w:gridCol w:w="1376"/>
        <w:gridCol w:w="799"/>
        <w:gridCol w:w="1378"/>
      </w:tblGrid>
      <w:tr>
        <w:tblPrEx>
          <w:tblCellMar>
            <w:top w:w="0" w:type="dxa"/>
            <w:left w:w="0" w:type="dxa"/>
            <w:bottom w:w="0" w:type="dxa"/>
            <w:right w:w="0" w:type="dxa"/>
          </w:tblCellMar>
        </w:tblPrEx>
        <w:trPr>
          <w:trHeight w:val="510" w:hRule="atLeast"/>
        </w:trPr>
        <w:tc>
          <w:tcPr>
            <w:tcW w:w="8874"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bidi="ar"/>
              </w:rPr>
              <w:t>政府采购情况表</w:t>
            </w:r>
          </w:p>
        </w:tc>
      </w:tr>
      <w:tr>
        <w:tblPrEx>
          <w:shd w:val="clear" w:color="auto" w:fill="auto"/>
          <w:tblCellMar>
            <w:top w:w="0" w:type="dxa"/>
            <w:left w:w="0" w:type="dxa"/>
            <w:bottom w:w="0" w:type="dxa"/>
            <w:right w:w="0" w:type="dxa"/>
          </w:tblCellMar>
        </w:tblPrEx>
        <w:trPr>
          <w:trHeight w:val="255" w:hRule="atLeast"/>
        </w:trPr>
        <w:tc>
          <w:tcPr>
            <w:tcW w:w="2914"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eastAsia" w:ascii="Arial" w:hAnsi="Arial" w:cs="Arial"/>
                <w:i w:val="0"/>
                <w:color w:val="000000"/>
                <w:sz w:val="20"/>
                <w:szCs w:val="20"/>
                <w:u w:val="none"/>
              </w:rPr>
            </w:pPr>
          </w:p>
        </w:tc>
        <w:tc>
          <w:tcPr>
            <w:tcW w:w="89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65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5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37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79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37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公开10表</w:t>
            </w:r>
          </w:p>
        </w:tc>
      </w:tr>
      <w:tr>
        <w:tblPrEx>
          <w:shd w:val="clear" w:color="auto" w:fill="auto"/>
          <w:tblCellMar>
            <w:top w:w="0" w:type="dxa"/>
            <w:left w:w="0" w:type="dxa"/>
            <w:bottom w:w="0" w:type="dxa"/>
            <w:right w:w="0" w:type="dxa"/>
          </w:tblCellMar>
        </w:tblPrEx>
        <w:trPr>
          <w:trHeight w:val="255" w:hRule="atLeast"/>
        </w:trPr>
        <w:tc>
          <w:tcPr>
            <w:tcW w:w="2914"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编制单位：邯郸市水利局（汇总）</w:t>
            </w:r>
          </w:p>
        </w:tc>
        <w:tc>
          <w:tcPr>
            <w:tcW w:w="89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65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5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37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79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37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trHeight w:val="308" w:hRule="atLeast"/>
        </w:trPr>
        <w:tc>
          <w:tcPr>
            <w:tcW w:w="291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5960"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采购计划金额</w:t>
            </w:r>
          </w:p>
        </w:tc>
      </w:tr>
      <w:tr>
        <w:tblPrEx>
          <w:shd w:val="clear" w:color="auto" w:fill="auto"/>
          <w:tblCellMar>
            <w:top w:w="0" w:type="dxa"/>
            <w:left w:w="0" w:type="dxa"/>
            <w:bottom w:w="0" w:type="dxa"/>
            <w:right w:w="0" w:type="dxa"/>
          </w:tblCellMar>
        </w:tblPrEx>
        <w:trPr>
          <w:trHeight w:val="308" w:hRule="atLeast"/>
        </w:trPr>
        <w:tc>
          <w:tcPr>
            <w:tcW w:w="291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89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总计</w:t>
            </w:r>
          </w:p>
        </w:tc>
        <w:tc>
          <w:tcPr>
            <w:tcW w:w="369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采购预算（财政性资金）</w:t>
            </w:r>
          </w:p>
        </w:tc>
        <w:tc>
          <w:tcPr>
            <w:tcW w:w="1378"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非财政性资金</w:t>
            </w:r>
          </w:p>
        </w:tc>
      </w:tr>
      <w:tr>
        <w:tblPrEx>
          <w:shd w:val="clear" w:color="auto" w:fill="auto"/>
          <w:tblCellMar>
            <w:top w:w="0" w:type="dxa"/>
            <w:left w:w="0" w:type="dxa"/>
            <w:bottom w:w="0" w:type="dxa"/>
            <w:right w:w="0" w:type="dxa"/>
          </w:tblCellMar>
        </w:tblPrEx>
        <w:trPr>
          <w:trHeight w:val="483" w:hRule="atLeast"/>
        </w:trPr>
        <w:tc>
          <w:tcPr>
            <w:tcW w:w="291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89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6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8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一般公共预算</w:t>
            </w:r>
          </w:p>
        </w:tc>
        <w:tc>
          <w:tcPr>
            <w:tcW w:w="13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政府性基金预算</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其他资金</w:t>
            </w:r>
          </w:p>
        </w:tc>
        <w:tc>
          <w:tcPr>
            <w:tcW w:w="1378"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08" w:hRule="atLeast"/>
        </w:trPr>
        <w:tc>
          <w:tcPr>
            <w:tcW w:w="291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890" w:type="dxa"/>
            <w:tcBorders>
              <w:top w:val="nil"/>
              <w:left w:val="nil"/>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658" w:type="dxa"/>
            <w:tcBorders>
              <w:top w:val="nil"/>
              <w:left w:val="nil"/>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59" w:type="dxa"/>
            <w:tcBorders>
              <w:top w:val="nil"/>
              <w:left w:val="nil"/>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376" w:type="dxa"/>
            <w:tcBorders>
              <w:top w:val="nil"/>
              <w:left w:val="nil"/>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799" w:type="dxa"/>
            <w:tcBorders>
              <w:top w:val="nil"/>
              <w:left w:val="nil"/>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378" w:type="dxa"/>
            <w:tcBorders>
              <w:top w:val="nil"/>
              <w:left w:val="nil"/>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shd w:val="clear" w:color="auto" w:fill="auto"/>
          <w:tblCellMar>
            <w:top w:w="0" w:type="dxa"/>
            <w:left w:w="0" w:type="dxa"/>
            <w:bottom w:w="0" w:type="dxa"/>
            <w:right w:w="0" w:type="dxa"/>
          </w:tblCellMar>
        </w:tblPrEx>
        <w:trPr>
          <w:trHeight w:val="308" w:hRule="atLeast"/>
        </w:trPr>
        <w:tc>
          <w:tcPr>
            <w:tcW w:w="2914"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268.02 </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268.02 </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268.02 </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08" w:hRule="atLeast"/>
        </w:trPr>
        <w:tc>
          <w:tcPr>
            <w:tcW w:w="2914"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货物</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268.02 </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268.02 </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268.02 </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08" w:hRule="atLeast"/>
        </w:trPr>
        <w:tc>
          <w:tcPr>
            <w:tcW w:w="2914"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240" w:lineRule="auto"/>
              <w:rPr>
                <w:rFonts w:hint="default" w:ascii="Arial" w:hAnsi="Arial" w:cs="Arial"/>
                <w:i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08" w:hRule="atLeast"/>
        </w:trPr>
        <w:tc>
          <w:tcPr>
            <w:tcW w:w="2914"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08" w:hRule="atLeast"/>
        </w:trPr>
        <w:tc>
          <w:tcPr>
            <w:tcW w:w="2914" w:type="dxa"/>
            <w:vMerge w:val="restart"/>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596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实际采购金额</w:t>
            </w:r>
          </w:p>
        </w:tc>
      </w:tr>
      <w:tr>
        <w:tblPrEx>
          <w:shd w:val="clear" w:color="auto" w:fill="auto"/>
          <w:tblCellMar>
            <w:top w:w="0" w:type="dxa"/>
            <w:left w:w="0" w:type="dxa"/>
            <w:bottom w:w="0" w:type="dxa"/>
            <w:right w:w="0" w:type="dxa"/>
          </w:tblCellMar>
        </w:tblPrEx>
        <w:trPr>
          <w:trHeight w:val="308" w:hRule="atLeast"/>
        </w:trPr>
        <w:tc>
          <w:tcPr>
            <w:tcW w:w="2914" w:type="dxa"/>
            <w:vMerge w:val="continue"/>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89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总计</w:t>
            </w:r>
          </w:p>
        </w:tc>
        <w:tc>
          <w:tcPr>
            <w:tcW w:w="369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采购预算（财政性资金）</w:t>
            </w:r>
          </w:p>
        </w:tc>
        <w:tc>
          <w:tcPr>
            <w:tcW w:w="137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非财政性资金</w:t>
            </w:r>
          </w:p>
        </w:tc>
      </w:tr>
      <w:tr>
        <w:tblPrEx>
          <w:shd w:val="clear" w:color="auto" w:fill="auto"/>
          <w:tblCellMar>
            <w:top w:w="0" w:type="dxa"/>
            <w:left w:w="0" w:type="dxa"/>
            <w:bottom w:w="0" w:type="dxa"/>
            <w:right w:w="0" w:type="dxa"/>
          </w:tblCellMar>
        </w:tblPrEx>
        <w:trPr>
          <w:trHeight w:val="308" w:hRule="atLeast"/>
        </w:trPr>
        <w:tc>
          <w:tcPr>
            <w:tcW w:w="2914" w:type="dxa"/>
            <w:vMerge w:val="continue"/>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8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一般公共预算</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政府性基金预算</w:t>
            </w: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其他资金</w:t>
            </w: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08" w:hRule="atLeast"/>
        </w:trPr>
        <w:tc>
          <w:tcPr>
            <w:tcW w:w="2914"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r>
      <w:tr>
        <w:tblPrEx>
          <w:shd w:val="clear" w:color="auto" w:fill="auto"/>
          <w:tblCellMar>
            <w:top w:w="0" w:type="dxa"/>
            <w:left w:w="0" w:type="dxa"/>
            <w:bottom w:w="0" w:type="dxa"/>
            <w:right w:w="0" w:type="dxa"/>
          </w:tblCellMar>
        </w:tblPrEx>
        <w:trPr>
          <w:trHeight w:val="308" w:hRule="atLeast"/>
        </w:trPr>
        <w:tc>
          <w:tcPr>
            <w:tcW w:w="2914"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240.29 </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240.29 </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240.29 </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08" w:hRule="atLeast"/>
        </w:trPr>
        <w:tc>
          <w:tcPr>
            <w:tcW w:w="2914"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货物</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240.29 </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240.29 </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val="0"/>
              <w:spacing w:line="240" w:lineRule="auto"/>
              <w:jc w:val="right"/>
              <w:textAlignment w:val="bottom"/>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240.29 </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08" w:hRule="atLeast"/>
        </w:trPr>
        <w:tc>
          <w:tcPr>
            <w:tcW w:w="2914"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08" w:hRule="atLeast"/>
        </w:trPr>
        <w:tc>
          <w:tcPr>
            <w:tcW w:w="2914"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right"/>
              <w:rPr>
                <w:rFonts w:hint="eastAsia" w:ascii="宋体" w:hAnsi="宋体" w:eastAsia="宋体" w:cs="宋体"/>
                <w:i w:val="0"/>
                <w:color w:val="000000"/>
                <w:sz w:val="20"/>
                <w:szCs w:val="20"/>
                <w:u w:val="none"/>
              </w:rPr>
            </w:pPr>
          </w:p>
        </w:tc>
      </w:tr>
    </w:tbl>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8691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仿宋_GB2312" w:eastAsia="仿宋_GB2312" w:cs="DengXian-Regular"/>
          <w:sz w:val="32"/>
          <w:szCs w:val="32"/>
          <w:lang w:val="en-US" w:eastAsia="zh-CN"/>
        </w:rPr>
        <w:t>34872.65</w:t>
      </w:r>
      <w:r>
        <w:rPr>
          <w:rFonts w:hint="eastAsia" w:ascii="仿宋_GB2312" w:eastAsia="仿宋_GB2312" w:cs="DengXian-Regular"/>
          <w:sz w:val="32"/>
          <w:szCs w:val="32"/>
        </w:rPr>
        <w:t>万元。与2017年度决算相比，收支各减少</w:t>
      </w:r>
      <w:r>
        <w:rPr>
          <w:rFonts w:hint="eastAsia" w:ascii="仿宋_GB2312" w:eastAsia="仿宋_GB2312" w:cs="DengXian-Regular"/>
          <w:sz w:val="32"/>
          <w:szCs w:val="32"/>
          <w:lang w:val="en-US" w:eastAsia="zh-CN"/>
        </w:rPr>
        <w:t>28455.43</w:t>
      </w:r>
      <w:r>
        <w:rPr>
          <w:rFonts w:hint="eastAsia" w:ascii="仿宋_GB2312" w:eastAsia="仿宋_GB2312" w:cs="DengXian-Regular"/>
          <w:sz w:val="32"/>
          <w:szCs w:val="32"/>
        </w:rPr>
        <w:t>万元，下降</w:t>
      </w:r>
      <w:r>
        <w:rPr>
          <w:rFonts w:hint="eastAsia" w:ascii="仿宋_GB2312" w:eastAsia="仿宋_GB2312" w:cs="DengXian-Regular"/>
          <w:sz w:val="32"/>
          <w:szCs w:val="32"/>
          <w:lang w:val="en-US" w:eastAsia="zh-CN"/>
        </w:rPr>
        <w:t>44.9</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lang w:eastAsia="zh-CN"/>
        </w:rPr>
        <w:t>项目收支减少；</w:t>
      </w:r>
      <w:r>
        <w:rPr>
          <w:rFonts w:hint="eastAsia" w:ascii="仿宋_GB2312" w:eastAsia="仿宋_GB2312" w:cs="DengXian-Regular"/>
          <w:sz w:val="32"/>
          <w:szCs w:val="32"/>
          <w:lang w:val="en-US" w:eastAsia="zh-CN"/>
        </w:rPr>
        <w:t>2.退休人员工资归社保发放，不在部门决算中体现。</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30342.87</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30342.87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如图所示：</w:t>
      </w:r>
    </w:p>
    <w:p>
      <w:pPr>
        <w:adjustRightInd w:val="0"/>
        <w:snapToGrid w:val="0"/>
        <w:spacing w:after="0" w:line="580" w:lineRule="exact"/>
        <w:ind w:firstLine="1260" w:firstLineChars="600"/>
        <w:rPr>
          <w:rFonts w:ascii="仿宋_GB2312" w:eastAsia="仿宋_GB2312" w:cs="DengXian-Regular"/>
          <w:sz w:val="32"/>
          <w:szCs w:val="32"/>
        </w:rPr>
      </w:pPr>
      <w:r>
        <w:pict>
          <v:group id="_x0000_s1076" o:spid="_x0000_s1076" o:spt="203" style="position:absolute;left:0pt;margin-left:73.8pt;margin-top:8.3pt;height:247.35pt;width:303.05pt;z-index:251670528;mso-width-relative:page;mso-height-relative:page;" coordorigin="6817,180097" coordsize="5156,3244203"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8" cropleft="2131f" croptop="1490f" cropright="1218f" cropbottom="5217f" o:title=""/>
              <o:lock v:ext="edit" aspectratio="t"/>
            </v:shape>
            <v:shape id="_x0000_s1077" o:spid="_x0000_s1077" o:spt="202" type="#_x0000_t202" style="position:absolute;left:7658;top:182920;height:421;width:3303;"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r>
        <w:drawing>
          <wp:anchor distT="0" distB="0" distL="114300" distR="114300" simplePos="0" relativeHeight="251674624" behindDoc="0" locked="0" layoutInCell="1" allowOverlap="1">
            <wp:simplePos x="0" y="0"/>
            <wp:positionH relativeFrom="column">
              <wp:posOffset>410845</wp:posOffset>
            </wp:positionH>
            <wp:positionV relativeFrom="paragraph">
              <wp:posOffset>-2463165</wp:posOffset>
            </wp:positionV>
            <wp:extent cx="4572000" cy="2743200"/>
            <wp:effectExtent l="4445" t="4445" r="14605" b="14605"/>
            <wp:wrapSquare wrapText="bothSides"/>
            <wp:docPr id="5"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30248.47</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1845.49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6.1</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28402.97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93.9</w:t>
      </w:r>
      <w:r>
        <w:rPr>
          <w:rFonts w:hint="eastAsia" w:ascii="仿宋_GB2312" w:eastAsia="仿宋_GB2312" w:cs="DengXian-Regular"/>
          <w:sz w:val="32"/>
          <w:szCs w:val="32"/>
        </w:rPr>
        <w:t>%。如图所示：</w: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73600" behindDoc="0" locked="0" layoutInCell="1" allowOverlap="1">
            <wp:simplePos x="0" y="0"/>
            <wp:positionH relativeFrom="column">
              <wp:posOffset>410845</wp:posOffset>
            </wp:positionH>
            <wp:positionV relativeFrom="paragraph">
              <wp:posOffset>-262890</wp:posOffset>
            </wp:positionV>
            <wp:extent cx="4572000" cy="2743200"/>
            <wp:effectExtent l="4445" t="4445" r="14605" b="14605"/>
            <wp:wrapSquare wrapText="bothSides"/>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pict>
          <v:group id="_x0000_s1073" o:spid="_x0000_s1073" o:spt="203" style="position:absolute;left:0pt;margin-left:59.55pt;margin-top:6.75pt;height:230.55pt;width:274.45pt;z-index:-251646976;mso-width-relative:page;mso-height-relative:page;" coordorigin="7032,190738" coordsize="4600,360720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74" o:spid="_x0000_s1074" o:spt="202" type="#_x0000_t202" style="position:absolute;left:7289;top:193685;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580" w:lineRule="exact"/>
        <w:ind w:firstLine="2640" w:firstLineChars="600"/>
        <w:rPr>
          <w:rFonts w:ascii="仿宋_GB2312" w:eastAsia="仿宋_GB2312" w:cs="DengXian-Regular"/>
          <w:sz w:val="32"/>
          <w:szCs w:val="32"/>
        </w:rPr>
      </w:pPr>
      <w:r>
        <w:rPr>
          <w:sz w:val="44"/>
        </w:rPr>
        <w:pict>
          <v:group id="_x0000_s1070" o:spid="_x0000_s1070" o:spt="203" style="position:absolute;left:0pt;margin-left:-0.55pt;margin-top:29.3pt;height:43.95pt;width:301.85pt;mso-position-horizontal-relative:page;mso-position-vertical-relative:page;z-index:25167872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eastAsia="仿宋_GB2312" w:cs="DengXian-Regular"/>
          <w:sz w:val="32"/>
          <w:szCs w:val="32"/>
          <w:lang w:val="en-US" w:eastAsia="zh-CN"/>
        </w:rPr>
        <w:t>30342.87</w:t>
      </w:r>
      <w:r>
        <w:rPr>
          <w:rFonts w:hint="eastAsia" w:ascii="仿宋_GB2312" w:eastAsia="仿宋_GB2312" w:cs="DengXian-Regular"/>
          <w:sz w:val="32"/>
          <w:szCs w:val="32"/>
        </w:rPr>
        <w:t>万元,比2017年度减少</w:t>
      </w:r>
      <w:r>
        <w:rPr>
          <w:rFonts w:hint="eastAsia" w:ascii="仿宋_GB2312" w:eastAsia="仿宋_GB2312" w:cs="DengXian-Regular"/>
          <w:sz w:val="32"/>
          <w:szCs w:val="32"/>
          <w:lang w:val="en-US" w:eastAsia="zh-CN"/>
        </w:rPr>
        <w:t>25604.88</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45.8</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项目收入减少和退休人员归社保开支</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30248.47</w:t>
      </w:r>
      <w:r>
        <w:rPr>
          <w:rFonts w:hint="eastAsia" w:ascii="仿宋_GB2312" w:eastAsia="仿宋_GB2312" w:cs="DengXian-Regular"/>
          <w:sz w:val="32"/>
          <w:szCs w:val="32"/>
        </w:rPr>
        <w:t>万元，减少</w:t>
      </w:r>
      <w:r>
        <w:rPr>
          <w:rFonts w:hint="eastAsia" w:ascii="仿宋_GB2312" w:eastAsia="仿宋_GB2312" w:cs="DengXian-Regular"/>
          <w:sz w:val="32"/>
          <w:szCs w:val="32"/>
          <w:lang w:val="en-US" w:eastAsia="zh-CN"/>
        </w:rPr>
        <w:t>27246.34</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47.4</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项目支出减少，上年结转结余资金在本年支出情况减少，以及因退休人员归社保开支经费支出减少</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21065.87</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153.48</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，比上年减少</w:t>
      </w:r>
      <w:r>
        <w:rPr>
          <w:rFonts w:hint="eastAsia" w:ascii="仿宋_GB2312" w:eastAsia="仿宋_GB2312" w:cs="DengXian-Regular"/>
          <w:sz w:val="32"/>
          <w:szCs w:val="32"/>
          <w:lang w:val="en-US" w:eastAsia="zh-CN"/>
        </w:rPr>
        <w:t>0.7%</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退休人员归社保开支，退休人员经费减少</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20971.47</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1765.59</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7.8</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上年结转结余资金在本年支出情况减少</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9277</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25451.4</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73.3</w:t>
      </w:r>
      <w:r>
        <w:rPr>
          <w:rFonts w:hint="eastAsia" w:ascii="仿宋_GB2312" w:eastAsia="仿宋_GB2312" w:cs="DengXian-Regular"/>
          <w:sz w:val="32"/>
          <w:szCs w:val="32"/>
        </w:rPr>
        <w:t>x%，主要原因是</w:t>
      </w:r>
      <w:r>
        <w:rPr>
          <w:rFonts w:hint="eastAsia" w:ascii="仿宋_GB2312" w:eastAsia="仿宋_GB2312" w:cs="DengXian-Regular"/>
          <w:sz w:val="32"/>
          <w:szCs w:val="32"/>
          <w:lang w:eastAsia="zh-CN"/>
        </w:rPr>
        <w:t>由政府性基金预算安排的项目收入减少</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9277</w:t>
      </w:r>
      <w:r>
        <w:rPr>
          <w:rFonts w:hint="eastAsia" w:ascii="仿宋_GB2312" w:eastAsia="仿宋_GB2312" w:cs="DengXian-Regular"/>
          <w:sz w:val="32"/>
          <w:szCs w:val="32"/>
        </w:rPr>
        <w:t>万元，比上年增减少</w:t>
      </w:r>
      <w:r>
        <w:rPr>
          <w:rFonts w:hint="eastAsia" w:ascii="仿宋_GB2312" w:eastAsia="仿宋_GB2312" w:cs="DengXian-Regular"/>
          <w:sz w:val="32"/>
          <w:szCs w:val="32"/>
          <w:lang w:val="en-US" w:eastAsia="zh-CN"/>
        </w:rPr>
        <w:t>25480.75</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73.3</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由政府性基金预算安排的项目支出减少</w:t>
      </w:r>
      <w:r>
        <w:rPr>
          <w:rFonts w:hint="eastAsia" w:ascii="仿宋_GB2312" w:eastAsia="仿宋_GB2312" w:cs="DengXian-Regular"/>
          <w:sz w:val="32"/>
          <w:szCs w:val="32"/>
        </w:rPr>
        <w:t>。</w:t>
      </w:r>
      <w:r>
        <w:pict>
          <v:group id="_x0000_s1064" o:spid="_x0000_s1064" o:spt="203" style="position:absolute;left:0pt;margin-left:51.25pt;margin-top:13.45pt;height:210.05pt;width:331.1pt;z-index:-251627520;mso-width-relative:page;mso-height-relative:page;" coordorigin="6151,199960" coordsize="6345,4048203"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66" o:spt="75" type="#_x0000_t75" style="position:absolute;left:6532;top:199960;height:3271;width:5714;"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1" o:title=""/>
              <o:lock v:ext="edit" aspectratio="t"/>
            </v:shape>
            <v:shape id="_x0000_s1065" o:spid="_x0000_s1065" o:spt="202" type="#_x0000_t202" style="position:absolute;left:6151;top:203196;height:812;width:6345;" fillcolor="#FFFFFF" filled="t"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eastAsia="仿宋_GB2312" w:cs="DengXian-Regular"/>
          <w:sz w:val="32"/>
          <w:szCs w:val="32"/>
          <w:lang w:val="en-US" w:eastAsia="zh-CN"/>
        </w:rPr>
        <w:t>30342.87</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296.6</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20114.24</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部分省级以上项目资金收入未在年初预算中列示</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30248.47</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295.7</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20019.84</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部分省级以上项目资金支出未在年初预算支出中列示以及上年度结转结余资金在本年度支出</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436.3</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16237.24</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部分省级以上项目收入未在年初预算中列示</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434.3</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16142.84</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部分省级以上项目支出未在年初预算中列示</w:t>
      </w:r>
      <w:r>
        <w:rPr>
          <w:rFonts w:hint="eastAsia" w:ascii="仿宋_GB2312" w:eastAsia="仿宋_GB2312" w:cs="DengXian-Regular"/>
          <w:sz w:val="32"/>
          <w:szCs w:val="32"/>
        </w:rPr>
        <w:t>。政府性基金预算财政拨款本年收入完成年初预算</w:t>
      </w:r>
      <w:r>
        <w:rPr>
          <w:rFonts w:hint="eastAsia" w:ascii="仿宋_GB2312" w:eastAsia="仿宋_GB2312" w:cs="DengXian-Regular"/>
          <w:sz w:val="32"/>
          <w:szCs w:val="32"/>
          <w:lang w:val="en-US" w:eastAsia="zh-CN"/>
        </w:rPr>
        <w:t>171.8</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3877</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部分省级以上项目收入未在年初预算中列示</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171.8</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3877</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部分省级以上项目支出未在年初预算中列示</w:t>
      </w:r>
      <w:r>
        <w:rPr>
          <w:rFonts w:hint="eastAsia" w:ascii="仿宋_GB2312" w:eastAsia="仿宋_GB2312" w:cs="DengXian-Regular"/>
          <w:sz w:val="32"/>
          <w:szCs w:val="32"/>
        </w:rPr>
        <w:t>。</w:t>
      </w:r>
    </w:p>
    <w:p>
      <w:pPr>
        <w:adjustRightInd w:val="0"/>
        <w:snapToGrid w:val="0"/>
        <w:spacing w:after="0" w:line="580" w:lineRule="exact"/>
        <w:ind w:firstLine="420" w:firstLineChars="200"/>
        <w:rPr>
          <w:rFonts w:ascii="仿宋_GB2312" w:eastAsia="仿宋_GB2312" w:cs="DengXian-Regular"/>
          <w:sz w:val="32"/>
          <w:szCs w:val="32"/>
          <w:highlight w:val="yellow"/>
        </w:rPr>
      </w:pPr>
      <w:r>
        <w:pict>
          <v:group id="_x0000_s1058" o:spid="_x0000_s1058" o:spt="203" style="position:absolute;left:0pt;margin-left:45.95pt;margin-top:0.4pt;height:208.2pt;width:343.1pt;z-index:-251626496;mso-width-relative:page;mso-height-relative:page;" coordorigin="5233,225704" coordsize="6344,3850203"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60"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2" o:title=""/>
              <o:lock v:ext="edit" aspectratio="t"/>
            </v:shape>
            <v:shape id="文本框 28" o:spid="_x0000_s1059" o:spt="202" type="#_x0000_t202" style="position:absolute;left:5233;top:228834;height:720;width:6345;"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楷体_GB2312" w:eastAsia="楷体_GB2312" w:cs="DengXian-Bold"/>
          <w:b/>
          <w:bCs/>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30248.47</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：农林水支出</w:t>
      </w:r>
      <w:r>
        <w:rPr>
          <w:rFonts w:hint="eastAsia" w:ascii="仿宋_GB2312" w:eastAsia="仿宋_GB2312" w:cs="DengXian-Regular"/>
          <w:sz w:val="32"/>
          <w:szCs w:val="32"/>
          <w:lang w:val="en-US" w:eastAsia="zh-CN"/>
        </w:rPr>
        <w:t>23000.06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76.0</w:t>
      </w:r>
      <w:r>
        <w:rPr>
          <w:rFonts w:hint="eastAsia" w:ascii="仿宋_GB2312" w:eastAsia="仿宋_GB2312" w:cs="DengXian-Regular"/>
          <w:sz w:val="32"/>
          <w:szCs w:val="32"/>
        </w:rPr>
        <w:t>%；</w:t>
      </w:r>
      <w:r>
        <w:rPr>
          <w:rFonts w:hint="eastAsia" w:ascii="仿宋_GB2312" w:eastAsia="仿宋_GB2312" w:cs="DengXian-Regular"/>
          <w:sz w:val="32"/>
          <w:szCs w:val="32"/>
          <w:lang w:eastAsia="zh-CN"/>
        </w:rPr>
        <w:t>城乡社区支出</w:t>
      </w:r>
      <w:r>
        <w:rPr>
          <w:rFonts w:hint="eastAsia" w:ascii="仿宋_GB2312" w:eastAsia="仿宋_GB2312" w:cs="DengXian-Regular"/>
          <w:sz w:val="32"/>
          <w:szCs w:val="32"/>
          <w:lang w:val="en-US" w:eastAsia="zh-CN"/>
        </w:rPr>
        <w:t>6600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21.8</w:t>
      </w:r>
      <w:r>
        <w:rPr>
          <w:rFonts w:hint="eastAsia" w:ascii="仿宋_GB2312" w:eastAsia="仿宋_GB2312" w:cs="DengXian-Regular"/>
          <w:sz w:val="32"/>
          <w:szCs w:val="32"/>
        </w:rPr>
        <w:t>%；</w:t>
      </w:r>
      <w:r>
        <w:rPr>
          <w:rFonts w:hint="eastAsia" w:ascii="仿宋_GB2312" w:eastAsia="仿宋_GB2312" w:cs="DengXian-Regular"/>
          <w:sz w:val="32"/>
          <w:szCs w:val="32"/>
          <w:lang w:eastAsia="zh-CN"/>
        </w:rPr>
        <w:t>社会保障与就业</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358.78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1.2</w:t>
      </w:r>
      <w:r>
        <w:rPr>
          <w:rFonts w:hint="eastAsia" w:ascii="仿宋_GB2312" w:eastAsia="仿宋_GB2312" w:cs="DengXian-Regular"/>
          <w:sz w:val="32"/>
          <w:szCs w:val="32"/>
        </w:rPr>
        <w:t>%；</w:t>
      </w:r>
      <w:r>
        <w:rPr>
          <w:rFonts w:hint="eastAsia" w:ascii="仿宋_GB2312" w:eastAsia="仿宋_GB2312" w:cs="DengXian-Regular"/>
          <w:sz w:val="32"/>
          <w:szCs w:val="32"/>
          <w:lang w:eastAsia="zh-CN"/>
        </w:rPr>
        <w:t>节能环保</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182</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0.6</w:t>
      </w:r>
      <w:r>
        <w:rPr>
          <w:rFonts w:hint="eastAsia" w:ascii="仿宋_GB2312" w:eastAsia="仿宋_GB2312" w:cs="DengXian-Regular"/>
          <w:sz w:val="32"/>
          <w:szCs w:val="32"/>
        </w:rPr>
        <w:t>%；</w:t>
      </w:r>
      <w:r>
        <w:rPr>
          <w:rFonts w:hint="eastAsia" w:ascii="仿宋_GB2312" w:eastAsia="仿宋_GB2312" w:cs="DengXian-Regular"/>
          <w:sz w:val="32"/>
          <w:szCs w:val="32"/>
          <w:lang w:eastAsia="zh-CN"/>
        </w:rPr>
        <w:t>住房保障支出</w:t>
      </w:r>
      <w:r>
        <w:rPr>
          <w:rFonts w:hint="eastAsia" w:ascii="仿宋_GB2312" w:eastAsia="仿宋_GB2312" w:cs="DengXian-Regular"/>
          <w:sz w:val="32"/>
          <w:szCs w:val="32"/>
          <w:lang w:val="en-US" w:eastAsia="zh-CN"/>
        </w:rPr>
        <w:t>97.63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0.3</w:t>
      </w:r>
      <w:r>
        <w:rPr>
          <w:rFonts w:hint="eastAsia" w:ascii="仿宋_GB2312" w:eastAsia="仿宋_GB2312" w:cs="DengXian-Regular"/>
          <w:sz w:val="32"/>
          <w:szCs w:val="32"/>
        </w:rPr>
        <w:t>%；</w:t>
      </w:r>
      <w:r>
        <w:rPr>
          <w:rFonts w:hint="eastAsia" w:ascii="仿宋_GB2312" w:eastAsia="仿宋_GB2312" w:cs="DengXian-Regular"/>
          <w:sz w:val="32"/>
          <w:szCs w:val="32"/>
          <w:lang w:eastAsia="zh-CN"/>
        </w:rPr>
        <w:t>医疗卫生与计划生育</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9.99</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，占</w:t>
      </w:r>
      <w:r>
        <w:rPr>
          <w:rFonts w:hint="eastAsia" w:ascii="仿宋_GB2312" w:eastAsia="仿宋_GB2312" w:cs="DengXian-Regular"/>
          <w:sz w:val="32"/>
          <w:szCs w:val="32"/>
          <w:lang w:val="en-US" w:eastAsia="zh-CN"/>
        </w:rPr>
        <w:t>0.1%</w:t>
      </w:r>
      <w:r>
        <w:rPr>
          <w:rFonts w:hint="eastAsia" w:ascii="仿宋_GB2312" w:eastAsia="仿宋_GB2312" w:cs="DengXian-Regular"/>
          <w:sz w:val="32"/>
          <w:szCs w:val="32"/>
        </w:rPr>
        <w:t>。</w:t>
      </w:r>
      <w:r>
        <w:pict>
          <v:group id="_x0000_s1055" o:spid="_x0000_s1055" o:spt="203" style="position:absolute;left:0pt;margin-left:86.35pt;margin-top:15.9pt;height:195.05pt;width:296.35pt;z-index:-251628544;mso-width-relative:page;mso-height-relative:page;" coordorigin="6921,180284" coordsize="5331,388620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56" o:spid="_x0000_s1056" o:spt="202" type="#_x0000_t202" style="position:absolute;left:6921;top:183134;height:1036;width:5331;"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p>
    <w:p>
      <w:pPr>
        <w:adjustRightInd w:val="0"/>
        <w:snapToGrid w:val="0"/>
        <w:spacing w:after="0" w:line="580" w:lineRule="exact"/>
        <w:ind w:left="420" w:leftChars="200"/>
        <w:rPr>
          <w:rFonts w:ascii="楷体_GB2312" w:eastAsia="楷体_GB2312" w:cs="DengXian-Bold"/>
          <w:b/>
          <w:bCs/>
          <w:sz w:val="32"/>
          <w:szCs w:val="32"/>
        </w:rPr>
      </w:pPr>
      <w:r>
        <w:rPr>
          <w:sz w:val="44"/>
        </w:rPr>
        <w:pict>
          <v:group id="_x0000_s1052" o:spid="_x0000_s1052" o:spt="203" style="position:absolute;left:0pt;margin-left:-0.55pt;margin-top:29.3pt;height:43.95pt;width:301.85pt;mso-position-horizontal-relative:page;mso-position-vertical-relative:page;z-index:25167974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1845.49</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1609.84</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235.65</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widowControl/>
        <w:wordWrap w:val="0"/>
        <w:spacing w:line="560" w:lineRule="atLeas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11.31</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1.85</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14.1</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主要是认真贯彻落实中央“八项规定”精神和厉行节约要求，</w:t>
      </w:r>
      <w:r>
        <w:rPr>
          <w:rFonts w:hint="eastAsia" w:ascii="仿宋_GB2312" w:eastAsia="仿宋_GB2312" w:cs="DengXian-Regular"/>
          <w:sz w:val="32"/>
          <w:szCs w:val="32"/>
          <w:lang w:eastAsia="zh-CN"/>
        </w:rPr>
        <w:t>我局</w:t>
      </w:r>
      <w:r>
        <w:rPr>
          <w:rFonts w:hint="eastAsia" w:ascii="仿宋_GB2312" w:hAnsi="??" w:eastAsia="仿宋_GB2312" w:cs="仿宋_GB2312"/>
          <w:color w:val="000000"/>
          <w:kern w:val="0"/>
          <w:sz w:val="32"/>
          <w:szCs w:val="32"/>
        </w:rPr>
        <w:t>严格执行“八项规定”，严格控制“三公”经费各项支出，</w:t>
      </w:r>
      <w:r>
        <w:rPr>
          <w:rFonts w:hint="eastAsia" w:ascii="仿宋_GB2312" w:hAnsi="仿宋_GB2312" w:eastAsia="仿宋_GB2312" w:cs="仿宋_GB2312"/>
          <w:color w:val="2B2B2B"/>
          <w:sz w:val="32"/>
          <w:szCs w:val="32"/>
          <w:shd w:val="clear" w:color="auto" w:fill="FFFFFF"/>
        </w:rPr>
        <w:t>完善制度，强化审批程序，严格把支出关，将各项经费降到最低</w:t>
      </w:r>
      <w:r>
        <w:rPr>
          <w:rFonts w:hint="eastAsia" w:ascii="仿宋_GB2312" w:hAnsi="仿宋_GB2312" w:eastAsia="仿宋_GB2312" w:cs="仿宋_GB2312"/>
          <w:color w:val="2B2B2B"/>
          <w:sz w:val="32"/>
          <w:szCs w:val="32"/>
          <w:shd w:val="clear" w:color="auto" w:fill="FFFFFF"/>
          <w:lang w:eastAsia="zh-CN"/>
        </w:rPr>
        <w:t>，</w:t>
      </w:r>
      <w:r>
        <w:rPr>
          <w:rFonts w:hint="eastAsia" w:ascii="仿宋_GB2312" w:eastAsia="仿宋_GB2312" w:cs="DengXian-Regular"/>
          <w:sz w:val="32"/>
          <w:szCs w:val="32"/>
        </w:rPr>
        <w:t>全年实际支出比预算有所节约。具体情况如下：</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8076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w:t>
      </w:r>
      <w:r>
        <w:rPr>
          <w:rFonts w:hint="eastAsia" w:ascii="仿宋_GB2312" w:eastAsia="仿宋_GB2312" w:cs="DengXian-Regular"/>
          <w:sz w:val="32"/>
          <w:szCs w:val="32"/>
          <w:lang w:eastAsia="zh-CN"/>
        </w:rPr>
        <w:t>未发生此类支出，</w:t>
      </w:r>
      <w:r>
        <w:rPr>
          <w:rFonts w:hint="eastAsia" w:ascii="仿宋_GB2312" w:eastAsia="仿宋_GB2312" w:cs="DengXian-Regular"/>
          <w:sz w:val="32"/>
          <w:szCs w:val="32"/>
          <w:lang w:val="en-US" w:eastAsia="zh-CN"/>
        </w:rPr>
        <w:t>年初预算未安排因公出国（境 ）费支出，</w:t>
      </w:r>
      <w:bookmarkStart w:id="0" w:name="_GoBack"/>
      <w:bookmarkEnd w:id="0"/>
      <w:r>
        <w:rPr>
          <w:rFonts w:hint="eastAsia" w:ascii="仿宋_GB2312" w:eastAsia="仿宋_GB2312" w:cs="DengXian-Regular"/>
          <w:sz w:val="32"/>
          <w:szCs w:val="32"/>
          <w:lang w:val="en-US" w:eastAsia="zh-CN"/>
        </w:rPr>
        <w:t>较年初预算无变化。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9.33</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eastAsia="仿宋_GB2312" w:cs="DengXian-Regular"/>
          <w:sz w:val="32"/>
          <w:szCs w:val="32"/>
          <w:lang w:val="en-US" w:eastAsia="zh-CN"/>
        </w:rPr>
        <w:t>0.07</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0.7</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严格控制公务车购置及运行维护费支出</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default" w:ascii="仿宋_GB2312" w:eastAsia="仿宋_GB2312" w:cs="DengXian-Regular"/>
          <w:sz w:val="32"/>
          <w:szCs w:val="32"/>
          <w:lang w:val="en-US"/>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w:t>
      </w:r>
      <w:r>
        <w:rPr>
          <w:rFonts w:hint="eastAsia" w:ascii="仿宋_GB2312" w:eastAsia="仿宋_GB2312" w:cs="DengXian-Regular"/>
          <w:sz w:val="32"/>
          <w:szCs w:val="32"/>
          <w:lang w:eastAsia="zh-CN"/>
        </w:rPr>
        <w:t>未发生此类支出，</w:t>
      </w:r>
      <w:r>
        <w:rPr>
          <w:rFonts w:hint="eastAsia" w:ascii="仿宋_GB2312" w:eastAsia="仿宋_GB2312" w:cs="DengXian-Regular"/>
          <w:sz w:val="32"/>
          <w:szCs w:val="32"/>
          <w:lang w:val="en-US" w:eastAsia="zh-CN"/>
        </w:rPr>
        <w:t>年初预算未安排公务用车购置费支出，较年初预算无变化。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0.07</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0.7</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严格控制公务车购置及运行维护费支出</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1.98</w:t>
      </w:r>
      <w:r>
        <w:rPr>
          <w:rFonts w:hint="eastAsia" w:ascii="楷体_GB2312" w:eastAsia="楷体_GB2312" w:cs="DengXian-Bold"/>
          <w:b/>
          <w:bCs/>
          <w:sz w:val="32"/>
          <w:szCs w:val="32"/>
        </w:rPr>
        <w:t>万元。</w:t>
      </w:r>
      <w:r>
        <w:rPr>
          <w:sz w:val="44"/>
        </w:rPr>
        <w:pict>
          <v:group id="_x0000_s1043" o:spid="_x0000_s1043" o:spt="203" style="position:absolute;left:0pt;margin-left:-0.55pt;margin-top:29.3pt;height:43.95pt;width:301.85pt;mso-position-horizontal-relative:page;mso-position-vertical-relative:page;z-index:25168179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60</w:t>
      </w:r>
      <w:r>
        <w:rPr>
          <w:rFonts w:hint="eastAsia" w:ascii="仿宋_GB2312" w:eastAsia="仿宋_GB2312" w:cs="DengXian-Regular"/>
          <w:sz w:val="32"/>
          <w:szCs w:val="32"/>
        </w:rPr>
        <w:t>人次。公务接待费支出较年初预算减少</w:t>
      </w:r>
      <w:r>
        <w:rPr>
          <w:rFonts w:hint="eastAsia" w:ascii="仿宋_GB2312" w:eastAsia="仿宋_GB2312" w:cs="DengXian-Regular"/>
          <w:sz w:val="32"/>
          <w:szCs w:val="32"/>
          <w:lang w:val="en-US" w:eastAsia="zh-CN"/>
        </w:rPr>
        <w:t>1.78</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47.3</w:t>
      </w:r>
      <w:r>
        <w:rPr>
          <w:rFonts w:hint="eastAsia" w:ascii="仿宋_GB2312" w:eastAsia="仿宋_GB2312" w:cs="DengXian-Regular"/>
          <w:sz w:val="32"/>
          <w:szCs w:val="32"/>
        </w:rPr>
        <w:t>%,主要是</w:t>
      </w:r>
      <w:r>
        <w:rPr>
          <w:rFonts w:hint="eastAsia" w:ascii="仿宋_GB2312" w:hAnsi="??" w:eastAsia="仿宋_GB2312" w:cs="仿宋_GB2312"/>
          <w:color w:val="000000"/>
          <w:kern w:val="0"/>
          <w:sz w:val="32"/>
          <w:szCs w:val="32"/>
        </w:rPr>
        <w:t>严格执行“八项规定”，严格控制</w:t>
      </w:r>
      <w:r>
        <w:rPr>
          <w:rFonts w:hint="eastAsia" w:ascii="仿宋_GB2312" w:hAnsi="??" w:eastAsia="仿宋_GB2312" w:cs="仿宋_GB2312"/>
          <w:color w:val="000000"/>
          <w:kern w:val="0"/>
          <w:sz w:val="32"/>
          <w:szCs w:val="32"/>
          <w:lang w:eastAsia="zh-CN"/>
        </w:rPr>
        <w:t>公务接待费</w:t>
      </w:r>
      <w:r>
        <w:rPr>
          <w:rFonts w:hint="eastAsia" w:ascii="仿宋_GB2312" w:hAnsi="??" w:eastAsia="仿宋_GB2312" w:cs="仿宋_GB2312"/>
          <w:color w:val="000000"/>
          <w:kern w:val="0"/>
          <w:sz w:val="32"/>
          <w:szCs w:val="32"/>
        </w:rPr>
        <w:t>支出，</w:t>
      </w:r>
      <w:r>
        <w:rPr>
          <w:rFonts w:hint="eastAsia" w:ascii="仿宋_GB2312" w:hAnsi="仿宋_GB2312" w:eastAsia="仿宋_GB2312" w:cs="仿宋_GB2312"/>
          <w:color w:val="2B2B2B"/>
          <w:sz w:val="32"/>
          <w:szCs w:val="32"/>
          <w:shd w:val="clear" w:color="auto" w:fill="FFFFFF"/>
        </w:rPr>
        <w:t>完善制度，强化审批程序，严格把支出关，将</w:t>
      </w:r>
      <w:r>
        <w:rPr>
          <w:rFonts w:hint="eastAsia" w:ascii="仿宋_GB2312" w:hAnsi="仿宋_GB2312" w:eastAsia="仿宋_GB2312" w:cs="仿宋_GB2312"/>
          <w:color w:val="2B2B2B"/>
          <w:sz w:val="32"/>
          <w:szCs w:val="32"/>
          <w:shd w:val="clear" w:color="auto" w:fill="FFFFFF"/>
          <w:lang w:eastAsia="zh-CN"/>
        </w:rPr>
        <w:t>公务接待费</w:t>
      </w:r>
      <w:r>
        <w:rPr>
          <w:rFonts w:hint="eastAsia" w:ascii="仿宋_GB2312" w:hAnsi="仿宋_GB2312" w:eastAsia="仿宋_GB2312" w:cs="仿宋_GB2312"/>
          <w:color w:val="2B2B2B"/>
          <w:sz w:val="32"/>
          <w:szCs w:val="32"/>
          <w:shd w:val="clear" w:color="auto" w:fill="FFFFFF"/>
        </w:rPr>
        <w:t>降到最低</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numPr>
          <w:ilvl w:val="0"/>
          <w:numId w:val="0"/>
        </w:numPr>
        <w:ind w:firstLine="640"/>
        <w:jc w:val="left"/>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numPr>
          <w:ilvl w:val="0"/>
          <w:numId w:val="0"/>
        </w:numPr>
        <w:ind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成立了项目绩效自评工作小组，由局正县级调研员王志全任组长,局财务处、农村水利与水土保持处、市防汛抗旱指挥部办公室、市水利移民办公室等相关处室人员任组员。并及时召开了由项目单位人员参加的工作安排部署会。</w:t>
      </w:r>
    </w:p>
    <w:p>
      <w:pPr>
        <w:numPr>
          <w:ilvl w:val="0"/>
          <w:numId w:val="0"/>
        </w:numPr>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2.以2018年度项目库为依据，对2018年度预算安排的所有项目（不含专项公用项目）全面实施绩效自评，涉及49个项目，各级财政资金2.89亿元，</w:t>
      </w:r>
    </w:p>
    <w:p>
      <w:pPr>
        <w:numPr>
          <w:ilvl w:val="0"/>
          <w:numId w:val="0"/>
        </w:numPr>
        <w:ind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3.由项目责任单位就项目绩效指标情况进行认真梳理，根据实际情况填写产出指标和效果指标。财务人员就资金使用情况进行详细核实，已支付资金理清用途，未支付资金找出原因。</w:t>
      </w:r>
    </w:p>
    <w:p>
      <w:pPr>
        <w:numPr>
          <w:ilvl w:val="0"/>
          <w:numId w:val="0"/>
        </w:numPr>
        <w:ind w:firstLine="640"/>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4.绩效自评报告由项目责任单位审核后，报局绩效自评工作小组进行二次审核。</w:t>
      </w:r>
    </w:p>
    <w:p>
      <w:pPr>
        <w:numPr>
          <w:ilvl w:val="0"/>
          <w:numId w:val="0"/>
        </w:numPr>
        <w:ind w:firstLine="640"/>
        <w:jc w:val="left"/>
        <w:rPr>
          <w:rFonts w:hint="eastAsia" w:ascii="仿宋" w:hAnsi="仿宋" w:eastAsia="仿宋" w:cs="仿宋"/>
          <w:sz w:val="32"/>
          <w:szCs w:val="32"/>
          <w:lang w:val="en-US" w:eastAsia="zh-CN"/>
        </w:rPr>
      </w:pPr>
      <w:r>
        <w:rPr>
          <w:rFonts w:hint="eastAsia" w:ascii="仿宋_GB2312" w:eastAsia="仿宋_GB2312" w:cs="DengXian-Regular"/>
          <w:sz w:val="32"/>
          <w:szCs w:val="32"/>
        </w:rPr>
        <w:t>（二）项目绩效自评结果。</w:t>
      </w:r>
      <w:r>
        <w:rPr>
          <w:rFonts w:hint="eastAsia" w:ascii="仿宋" w:hAnsi="仿宋" w:eastAsia="仿宋" w:cs="仿宋"/>
          <w:sz w:val="32"/>
          <w:szCs w:val="32"/>
          <w:lang w:val="en-US" w:eastAsia="zh-CN"/>
        </w:rPr>
        <w:t>所有项目自评最高得分为100分，最低得分为84分，自评结果均在中及以上。其中：95分以上项目达到21个，优秀率42.86%。</w:t>
      </w:r>
    </w:p>
    <w:p>
      <w:pPr>
        <w:widowControl/>
        <w:spacing w:line="480" w:lineRule="auto"/>
        <w:ind w:firstLine="640"/>
        <w:jc w:val="left"/>
        <w:rPr>
          <w:rFonts w:hint="eastAsia" w:ascii="仿宋" w:hAnsi="仿宋" w:eastAsia="仿宋" w:cs="仿宋"/>
          <w:b w:val="0"/>
          <w:bCs w:val="0"/>
          <w:sz w:val="32"/>
          <w:szCs w:val="32"/>
          <w:lang w:eastAsia="zh-CN"/>
        </w:rPr>
      </w:pPr>
      <w:r>
        <w:rPr>
          <w:rFonts w:hint="eastAsia" w:ascii="仿宋_GB2312" w:eastAsia="仿宋_GB2312" w:cs="DengXian-Regular"/>
          <w:sz w:val="32"/>
          <w:szCs w:val="32"/>
        </w:rPr>
        <w:t>（三）重点项目绩效评价结果</w:t>
      </w:r>
      <w:r>
        <w:rPr>
          <w:rFonts w:hint="eastAsia" w:ascii="仿宋" w:hAnsi="仿宋" w:eastAsia="仿宋" w:cs="仿宋"/>
          <w:b w:val="0"/>
          <w:bCs w:val="0"/>
          <w:sz w:val="32"/>
          <w:szCs w:val="32"/>
          <w:lang w:eastAsia="zh-CN"/>
        </w:rPr>
        <w:t>。“</w:t>
      </w:r>
      <w:r>
        <w:rPr>
          <w:rFonts w:hint="eastAsia" w:ascii="仿宋" w:hAnsi="仿宋" w:eastAsia="仿宋" w:cs="仿宋"/>
          <w:b w:val="0"/>
          <w:bCs w:val="0"/>
          <w:color w:val="000000"/>
          <w:kern w:val="0"/>
          <w:sz w:val="32"/>
          <w:szCs w:val="32"/>
        </w:rPr>
        <w:t>邯郸市漳滏河灌区2018年度续建配套和节水改造项目</w:t>
      </w:r>
      <w:r>
        <w:rPr>
          <w:rFonts w:hint="eastAsia" w:ascii="仿宋" w:hAnsi="仿宋" w:eastAsia="仿宋" w:cs="仿宋"/>
          <w:b w:val="0"/>
          <w:bCs w:val="0"/>
          <w:sz w:val="32"/>
          <w:szCs w:val="32"/>
          <w:lang w:eastAsia="zh-CN"/>
        </w:rPr>
        <w:t>”</w:t>
      </w:r>
    </w:p>
    <w:p>
      <w:pPr>
        <w:widowControl/>
        <w:tabs>
          <w:tab w:val="left" w:pos="298"/>
        </w:tabs>
        <w:spacing w:line="480" w:lineRule="auto"/>
        <w:jc w:val="left"/>
        <w:rPr>
          <w:rFonts w:hint="eastAsia" w:ascii="楷体_GB2312" w:hAnsi="楷体_GB2312" w:eastAsia="楷体_GB2312" w:cs="楷体_GB2312"/>
          <w:b/>
          <w:bCs/>
          <w:color w:val="auto"/>
          <w:kern w:val="0"/>
          <w:sz w:val="32"/>
          <w:szCs w:val="32"/>
        </w:rPr>
      </w:pPr>
      <w:r>
        <w:rPr>
          <w:rFonts w:hint="eastAsia" w:ascii="楷体_GB2312" w:hAnsi="楷体_GB2312" w:eastAsia="楷体_GB2312" w:cs="楷体_GB2312"/>
          <w:b/>
          <w:bCs/>
          <w:color w:val="auto"/>
          <w:kern w:val="0"/>
          <w:sz w:val="32"/>
          <w:szCs w:val="32"/>
          <w:lang w:eastAsia="zh-CN"/>
        </w:rPr>
        <w:t>　　</w:t>
      </w:r>
      <w:r>
        <w:rPr>
          <w:rFonts w:hint="eastAsia" w:ascii="楷体_GB2312" w:hAnsi="楷体_GB2312" w:eastAsia="楷体_GB2312" w:cs="楷体_GB2312"/>
          <w:b/>
          <w:bCs/>
          <w:color w:val="auto"/>
          <w:kern w:val="0"/>
          <w:sz w:val="32"/>
          <w:szCs w:val="32"/>
        </w:rPr>
        <w:t>项目产出绩效指标完成情况分析</w:t>
      </w:r>
    </w:p>
    <w:p>
      <w:pPr>
        <w:ind w:firstLine="640"/>
        <w:rPr>
          <w:rFonts w:hint="eastAsia"/>
          <w:color w:val="auto"/>
          <w:sz w:val="32"/>
          <w:szCs w:val="32"/>
        </w:rPr>
      </w:pPr>
      <w:r>
        <w:rPr>
          <w:rFonts w:hint="eastAsia" w:ascii="仿宋_GB2312" w:hAnsi="仿宋_GB2312" w:eastAsia="仿宋_GB2312" w:cs="仿宋_GB2312"/>
          <w:color w:val="auto"/>
          <w:kern w:val="0"/>
          <w:sz w:val="32"/>
          <w:szCs w:val="32"/>
        </w:rPr>
        <w:t>1</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数量指标完成情况</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pPr>
              <w:jc w:val="center"/>
              <w:rPr>
                <w:color w:val="auto"/>
                <w:sz w:val="28"/>
                <w:szCs w:val="28"/>
              </w:rPr>
            </w:pPr>
            <w:r>
              <w:rPr>
                <w:rFonts w:hint="eastAsia"/>
                <w:color w:val="auto"/>
                <w:sz w:val="28"/>
                <w:szCs w:val="28"/>
              </w:rPr>
              <w:t>序号</w:t>
            </w:r>
          </w:p>
        </w:tc>
        <w:tc>
          <w:tcPr>
            <w:tcW w:w="1704" w:type="dxa"/>
            <w:noWrap w:val="0"/>
            <w:vAlign w:val="center"/>
          </w:tcPr>
          <w:p>
            <w:pPr>
              <w:jc w:val="center"/>
              <w:rPr>
                <w:color w:val="auto"/>
                <w:sz w:val="28"/>
                <w:szCs w:val="28"/>
              </w:rPr>
            </w:pPr>
            <w:r>
              <w:rPr>
                <w:rFonts w:hint="eastAsia"/>
                <w:color w:val="auto"/>
                <w:sz w:val="28"/>
                <w:szCs w:val="28"/>
              </w:rPr>
              <w:t>建设内容</w:t>
            </w:r>
          </w:p>
        </w:tc>
        <w:tc>
          <w:tcPr>
            <w:tcW w:w="1704" w:type="dxa"/>
            <w:noWrap w:val="0"/>
            <w:vAlign w:val="center"/>
          </w:tcPr>
          <w:p>
            <w:pPr>
              <w:jc w:val="center"/>
              <w:rPr>
                <w:color w:val="auto"/>
                <w:sz w:val="28"/>
                <w:szCs w:val="28"/>
              </w:rPr>
            </w:pPr>
            <w:r>
              <w:rPr>
                <w:rFonts w:hint="eastAsia"/>
                <w:color w:val="auto"/>
                <w:sz w:val="28"/>
                <w:szCs w:val="28"/>
              </w:rPr>
              <w:t>单位</w:t>
            </w:r>
          </w:p>
        </w:tc>
        <w:tc>
          <w:tcPr>
            <w:tcW w:w="1705" w:type="dxa"/>
            <w:noWrap w:val="0"/>
            <w:vAlign w:val="center"/>
          </w:tcPr>
          <w:p>
            <w:pPr>
              <w:jc w:val="center"/>
              <w:rPr>
                <w:color w:val="auto"/>
                <w:sz w:val="28"/>
                <w:szCs w:val="28"/>
              </w:rPr>
            </w:pPr>
            <w:r>
              <w:rPr>
                <w:rFonts w:hint="eastAsia"/>
                <w:color w:val="auto"/>
                <w:sz w:val="28"/>
                <w:szCs w:val="28"/>
              </w:rPr>
              <w:t>合同工程量</w:t>
            </w:r>
          </w:p>
        </w:tc>
        <w:tc>
          <w:tcPr>
            <w:tcW w:w="1705" w:type="dxa"/>
            <w:noWrap w:val="0"/>
            <w:vAlign w:val="center"/>
          </w:tcPr>
          <w:p>
            <w:pPr>
              <w:jc w:val="center"/>
              <w:rPr>
                <w:color w:val="auto"/>
                <w:sz w:val="28"/>
                <w:szCs w:val="28"/>
              </w:rPr>
            </w:pPr>
            <w:r>
              <w:rPr>
                <w:rFonts w:hint="eastAsia"/>
                <w:color w:val="auto"/>
                <w:sz w:val="28"/>
                <w:szCs w:val="28"/>
              </w:rPr>
              <w:t>实际完成工程量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pPr>
              <w:jc w:val="center"/>
              <w:rPr>
                <w:color w:val="auto"/>
                <w:sz w:val="28"/>
                <w:szCs w:val="28"/>
              </w:rPr>
            </w:pPr>
            <w:r>
              <w:rPr>
                <w:rFonts w:hint="eastAsia"/>
                <w:color w:val="auto"/>
                <w:sz w:val="28"/>
                <w:szCs w:val="28"/>
              </w:rPr>
              <w:t>1</w:t>
            </w:r>
          </w:p>
        </w:tc>
        <w:tc>
          <w:tcPr>
            <w:tcW w:w="1704" w:type="dxa"/>
            <w:noWrap w:val="0"/>
            <w:vAlign w:val="center"/>
          </w:tcPr>
          <w:p>
            <w:pPr>
              <w:jc w:val="center"/>
              <w:rPr>
                <w:color w:val="auto"/>
                <w:sz w:val="28"/>
                <w:szCs w:val="28"/>
              </w:rPr>
            </w:pPr>
            <w:r>
              <w:rPr>
                <w:rFonts w:hint="eastAsia"/>
                <w:color w:val="auto"/>
                <w:sz w:val="28"/>
                <w:szCs w:val="28"/>
              </w:rPr>
              <w:t>渠道衬砌</w:t>
            </w:r>
          </w:p>
        </w:tc>
        <w:tc>
          <w:tcPr>
            <w:tcW w:w="1704" w:type="dxa"/>
            <w:noWrap w:val="0"/>
            <w:vAlign w:val="center"/>
          </w:tcPr>
          <w:p>
            <w:pPr>
              <w:jc w:val="center"/>
              <w:rPr>
                <w:color w:val="auto"/>
                <w:sz w:val="28"/>
                <w:szCs w:val="28"/>
              </w:rPr>
            </w:pPr>
            <w:r>
              <w:rPr>
                <w:color w:val="auto"/>
                <w:sz w:val="28"/>
                <w:szCs w:val="28"/>
              </w:rPr>
              <w:t>K</w:t>
            </w:r>
            <w:r>
              <w:rPr>
                <w:rFonts w:hint="eastAsia"/>
                <w:color w:val="auto"/>
                <w:sz w:val="28"/>
                <w:szCs w:val="28"/>
              </w:rPr>
              <w:t>m</w:t>
            </w:r>
          </w:p>
        </w:tc>
        <w:tc>
          <w:tcPr>
            <w:tcW w:w="1705" w:type="dxa"/>
            <w:noWrap w:val="0"/>
            <w:vAlign w:val="center"/>
          </w:tcPr>
          <w:p>
            <w:pPr>
              <w:jc w:val="center"/>
              <w:rPr>
                <w:color w:val="auto"/>
                <w:sz w:val="28"/>
                <w:szCs w:val="28"/>
              </w:rPr>
            </w:pPr>
            <w:r>
              <w:rPr>
                <w:rFonts w:hint="eastAsia"/>
                <w:color w:val="auto"/>
                <w:sz w:val="28"/>
                <w:szCs w:val="28"/>
              </w:rPr>
              <w:t>12.402</w:t>
            </w:r>
          </w:p>
        </w:tc>
        <w:tc>
          <w:tcPr>
            <w:tcW w:w="1705" w:type="dxa"/>
            <w:noWrap w:val="0"/>
            <w:vAlign w:val="center"/>
          </w:tcPr>
          <w:p>
            <w:pPr>
              <w:jc w:val="center"/>
              <w:rPr>
                <w:color w:val="auto"/>
                <w:sz w:val="28"/>
                <w:szCs w:val="28"/>
              </w:rPr>
            </w:pPr>
            <w:r>
              <w:rPr>
                <w:rFonts w:hint="eastAsia"/>
                <w:color w:val="auto"/>
                <w:sz w:val="28"/>
                <w:szCs w:val="28"/>
              </w:rPr>
              <w:t>12.402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pPr>
              <w:jc w:val="center"/>
              <w:rPr>
                <w:color w:val="auto"/>
                <w:sz w:val="28"/>
                <w:szCs w:val="28"/>
              </w:rPr>
            </w:pPr>
            <w:r>
              <w:rPr>
                <w:rFonts w:hint="eastAsia"/>
                <w:color w:val="auto"/>
                <w:sz w:val="28"/>
                <w:szCs w:val="28"/>
              </w:rPr>
              <w:t>2</w:t>
            </w:r>
          </w:p>
        </w:tc>
        <w:tc>
          <w:tcPr>
            <w:tcW w:w="1704" w:type="dxa"/>
            <w:noWrap w:val="0"/>
            <w:vAlign w:val="center"/>
          </w:tcPr>
          <w:p>
            <w:pPr>
              <w:jc w:val="center"/>
              <w:rPr>
                <w:color w:val="auto"/>
                <w:sz w:val="28"/>
                <w:szCs w:val="28"/>
              </w:rPr>
            </w:pPr>
            <w:r>
              <w:rPr>
                <w:rFonts w:hint="eastAsia"/>
                <w:color w:val="auto"/>
                <w:sz w:val="28"/>
                <w:szCs w:val="28"/>
              </w:rPr>
              <w:t>改建节制闸</w:t>
            </w:r>
          </w:p>
        </w:tc>
        <w:tc>
          <w:tcPr>
            <w:tcW w:w="1704" w:type="dxa"/>
            <w:noWrap w:val="0"/>
            <w:vAlign w:val="center"/>
          </w:tcPr>
          <w:p>
            <w:pPr>
              <w:jc w:val="center"/>
              <w:rPr>
                <w:color w:val="auto"/>
                <w:sz w:val="28"/>
                <w:szCs w:val="28"/>
              </w:rPr>
            </w:pPr>
            <w:r>
              <w:rPr>
                <w:rFonts w:hint="eastAsia"/>
                <w:color w:val="auto"/>
                <w:sz w:val="28"/>
                <w:szCs w:val="28"/>
              </w:rPr>
              <w:t>座</w:t>
            </w:r>
          </w:p>
        </w:tc>
        <w:tc>
          <w:tcPr>
            <w:tcW w:w="1705" w:type="dxa"/>
            <w:noWrap w:val="0"/>
            <w:vAlign w:val="center"/>
          </w:tcPr>
          <w:p>
            <w:pPr>
              <w:jc w:val="center"/>
              <w:rPr>
                <w:color w:val="auto"/>
                <w:sz w:val="28"/>
                <w:szCs w:val="28"/>
              </w:rPr>
            </w:pPr>
            <w:r>
              <w:rPr>
                <w:rFonts w:hint="eastAsia"/>
                <w:color w:val="auto"/>
                <w:sz w:val="28"/>
                <w:szCs w:val="28"/>
              </w:rPr>
              <w:t>2</w:t>
            </w:r>
          </w:p>
        </w:tc>
        <w:tc>
          <w:tcPr>
            <w:tcW w:w="1705" w:type="dxa"/>
            <w:noWrap w:val="0"/>
            <w:vAlign w:val="center"/>
          </w:tcPr>
          <w:p>
            <w:pPr>
              <w:jc w:val="center"/>
              <w:rPr>
                <w:color w:val="auto"/>
                <w:sz w:val="28"/>
                <w:szCs w:val="28"/>
              </w:rPr>
            </w:pPr>
            <w:r>
              <w:rPr>
                <w:rFonts w:hint="eastAsia"/>
                <w:color w:val="auto"/>
                <w:sz w:val="28"/>
                <w:szCs w:val="2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pPr>
              <w:jc w:val="center"/>
              <w:rPr>
                <w:color w:val="auto"/>
                <w:sz w:val="28"/>
                <w:szCs w:val="28"/>
              </w:rPr>
            </w:pPr>
            <w:r>
              <w:rPr>
                <w:rFonts w:hint="eastAsia"/>
                <w:color w:val="auto"/>
                <w:sz w:val="28"/>
                <w:szCs w:val="28"/>
              </w:rPr>
              <w:t>3</w:t>
            </w:r>
          </w:p>
        </w:tc>
        <w:tc>
          <w:tcPr>
            <w:tcW w:w="1704" w:type="dxa"/>
            <w:noWrap w:val="0"/>
            <w:vAlign w:val="center"/>
          </w:tcPr>
          <w:p>
            <w:pPr>
              <w:jc w:val="center"/>
              <w:rPr>
                <w:color w:val="auto"/>
                <w:sz w:val="28"/>
                <w:szCs w:val="28"/>
              </w:rPr>
            </w:pPr>
            <w:r>
              <w:rPr>
                <w:rFonts w:hint="eastAsia"/>
                <w:color w:val="auto"/>
                <w:sz w:val="28"/>
                <w:szCs w:val="28"/>
              </w:rPr>
              <w:t>配套建筑物</w:t>
            </w:r>
          </w:p>
        </w:tc>
        <w:tc>
          <w:tcPr>
            <w:tcW w:w="1704" w:type="dxa"/>
            <w:noWrap w:val="0"/>
            <w:vAlign w:val="center"/>
          </w:tcPr>
          <w:p>
            <w:pPr>
              <w:jc w:val="center"/>
              <w:rPr>
                <w:color w:val="auto"/>
                <w:sz w:val="28"/>
                <w:szCs w:val="28"/>
              </w:rPr>
            </w:pPr>
            <w:r>
              <w:rPr>
                <w:rFonts w:hint="eastAsia"/>
                <w:color w:val="auto"/>
                <w:sz w:val="28"/>
                <w:szCs w:val="28"/>
              </w:rPr>
              <w:t>座</w:t>
            </w:r>
          </w:p>
        </w:tc>
        <w:tc>
          <w:tcPr>
            <w:tcW w:w="1705" w:type="dxa"/>
            <w:noWrap w:val="0"/>
            <w:vAlign w:val="center"/>
          </w:tcPr>
          <w:p>
            <w:pPr>
              <w:jc w:val="center"/>
              <w:rPr>
                <w:color w:val="auto"/>
                <w:sz w:val="28"/>
                <w:szCs w:val="28"/>
              </w:rPr>
            </w:pPr>
            <w:r>
              <w:rPr>
                <w:rFonts w:hint="eastAsia"/>
                <w:color w:val="auto"/>
                <w:sz w:val="28"/>
                <w:szCs w:val="28"/>
              </w:rPr>
              <w:t>25</w:t>
            </w:r>
          </w:p>
        </w:tc>
        <w:tc>
          <w:tcPr>
            <w:tcW w:w="1705" w:type="dxa"/>
            <w:noWrap w:val="0"/>
            <w:vAlign w:val="center"/>
          </w:tcPr>
          <w:p>
            <w:pPr>
              <w:jc w:val="center"/>
              <w:rPr>
                <w:color w:val="auto"/>
                <w:sz w:val="28"/>
                <w:szCs w:val="28"/>
              </w:rPr>
            </w:pPr>
            <w:r>
              <w:rPr>
                <w:rFonts w:hint="eastAsia"/>
                <w:color w:val="auto"/>
                <w:sz w:val="28"/>
                <w:szCs w:val="2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center"/>
          </w:tcPr>
          <w:p>
            <w:pPr>
              <w:jc w:val="center"/>
              <w:rPr>
                <w:color w:val="auto"/>
                <w:sz w:val="32"/>
                <w:szCs w:val="32"/>
              </w:rPr>
            </w:pPr>
            <w:r>
              <w:rPr>
                <w:rFonts w:hint="eastAsia"/>
                <w:color w:val="auto"/>
                <w:sz w:val="32"/>
                <w:szCs w:val="32"/>
              </w:rPr>
              <w:t>4</w:t>
            </w:r>
          </w:p>
        </w:tc>
        <w:tc>
          <w:tcPr>
            <w:tcW w:w="1704" w:type="dxa"/>
            <w:noWrap w:val="0"/>
            <w:vAlign w:val="center"/>
          </w:tcPr>
          <w:p>
            <w:pPr>
              <w:jc w:val="center"/>
              <w:rPr>
                <w:color w:val="auto"/>
                <w:sz w:val="28"/>
                <w:szCs w:val="28"/>
              </w:rPr>
            </w:pPr>
            <w:r>
              <w:rPr>
                <w:rFonts w:hint="eastAsia"/>
                <w:color w:val="auto"/>
                <w:sz w:val="28"/>
                <w:szCs w:val="28"/>
              </w:rPr>
              <w:t>信息化工程</w:t>
            </w:r>
          </w:p>
        </w:tc>
        <w:tc>
          <w:tcPr>
            <w:tcW w:w="1704" w:type="dxa"/>
            <w:noWrap w:val="0"/>
            <w:vAlign w:val="center"/>
          </w:tcPr>
          <w:p>
            <w:pPr>
              <w:jc w:val="center"/>
              <w:rPr>
                <w:color w:val="auto"/>
                <w:sz w:val="32"/>
                <w:szCs w:val="32"/>
              </w:rPr>
            </w:pPr>
            <w:r>
              <w:rPr>
                <w:rFonts w:hint="eastAsia"/>
                <w:color w:val="auto"/>
                <w:sz w:val="32"/>
                <w:szCs w:val="32"/>
              </w:rPr>
              <w:t>项</w:t>
            </w:r>
          </w:p>
        </w:tc>
        <w:tc>
          <w:tcPr>
            <w:tcW w:w="1705" w:type="dxa"/>
            <w:noWrap w:val="0"/>
            <w:vAlign w:val="center"/>
          </w:tcPr>
          <w:p>
            <w:pPr>
              <w:jc w:val="center"/>
              <w:rPr>
                <w:color w:val="auto"/>
                <w:sz w:val="32"/>
                <w:szCs w:val="32"/>
              </w:rPr>
            </w:pPr>
            <w:r>
              <w:rPr>
                <w:rFonts w:hint="eastAsia"/>
                <w:color w:val="auto"/>
                <w:sz w:val="32"/>
                <w:szCs w:val="32"/>
              </w:rPr>
              <w:t>1</w:t>
            </w:r>
          </w:p>
        </w:tc>
        <w:tc>
          <w:tcPr>
            <w:tcW w:w="1705" w:type="dxa"/>
            <w:noWrap w:val="0"/>
            <w:vAlign w:val="center"/>
          </w:tcPr>
          <w:p>
            <w:pPr>
              <w:jc w:val="center"/>
              <w:rPr>
                <w:color w:val="auto"/>
                <w:sz w:val="32"/>
                <w:szCs w:val="32"/>
              </w:rPr>
            </w:pPr>
            <w:r>
              <w:rPr>
                <w:rFonts w:hint="eastAsia"/>
                <w:color w:val="auto"/>
                <w:sz w:val="32"/>
                <w:szCs w:val="32"/>
              </w:rPr>
              <w:t>1</w:t>
            </w:r>
          </w:p>
        </w:tc>
      </w:tr>
    </w:tbl>
    <w:p>
      <w:pPr>
        <w:rPr>
          <w:color w:val="auto"/>
          <w:sz w:val="32"/>
          <w:szCs w:val="32"/>
        </w:rPr>
      </w:pPr>
    </w:p>
    <w:p>
      <w:pPr>
        <w:widowControl/>
        <w:tabs>
          <w:tab w:val="left" w:pos="298"/>
        </w:tabs>
        <w:spacing w:line="480" w:lineRule="auto"/>
        <w:jc w:val="left"/>
        <w:rPr>
          <w:rFonts w:hint="eastAsia" w:ascii="仿宋_GB2312" w:hAnsi="仿宋_GB2312" w:eastAsia="仿宋_GB2312" w:cs="仿宋_GB2312"/>
          <w:color w:val="auto"/>
          <w:kern w:val="0"/>
          <w:sz w:val="32"/>
          <w:szCs w:val="32"/>
        </w:rPr>
      </w:pPr>
    </w:p>
    <w:p>
      <w:pP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Cs/>
          <w:color w:val="auto"/>
          <w:sz w:val="32"/>
          <w:szCs w:val="32"/>
          <w:lang w:eastAsia="zh-CN"/>
        </w:rPr>
        <w:t>　　</w:t>
      </w:r>
      <w:r>
        <w:rPr>
          <w:rFonts w:hint="eastAsia" w:ascii="仿宋_GB2312" w:hAnsi="仿宋_GB2312" w:eastAsia="仿宋_GB2312" w:cs="仿宋_GB2312"/>
          <w:bCs/>
          <w:color w:val="auto"/>
          <w:sz w:val="32"/>
          <w:szCs w:val="32"/>
        </w:rPr>
        <w:t>2</w:t>
      </w:r>
      <w:r>
        <w:rPr>
          <w:rFonts w:hint="eastAsia" w:ascii="仿宋_GB2312" w:hAnsi="仿宋_GB2312" w:eastAsia="仿宋_GB2312" w:cs="仿宋_GB2312"/>
          <w:bCs/>
          <w:color w:val="auto"/>
          <w:sz w:val="32"/>
          <w:szCs w:val="32"/>
          <w:lang w:val="en-US" w:eastAsia="zh-CN"/>
        </w:rPr>
        <w:t>.</w:t>
      </w:r>
      <w:r>
        <w:rPr>
          <w:rFonts w:hint="eastAsia" w:ascii="仿宋_GB2312" w:hAnsi="仿宋_GB2312" w:eastAsia="仿宋_GB2312" w:cs="仿宋_GB2312"/>
          <w:bCs/>
          <w:color w:val="auto"/>
          <w:sz w:val="32"/>
          <w:szCs w:val="32"/>
        </w:rPr>
        <w:t>质量指标完成情况</w:t>
      </w:r>
      <w:r>
        <w:rPr>
          <w:rFonts w:hint="eastAsia" w:ascii="仿宋_GB2312" w:hAnsi="仿宋_GB2312" w:eastAsia="仿宋_GB2312" w:cs="仿宋_GB2312"/>
          <w:bCs/>
          <w:color w:val="auto"/>
          <w:sz w:val="32"/>
          <w:szCs w:val="32"/>
          <w:lang w:val="en-US" w:eastAsia="zh-CN"/>
        </w:rPr>
        <w:t>:</w:t>
      </w:r>
      <w:r>
        <w:rPr>
          <w:rFonts w:hint="eastAsia" w:ascii="仿宋_GB2312" w:hAnsi="仿宋_GB2312" w:eastAsia="仿宋_GB2312" w:cs="仿宋_GB2312"/>
          <w:color w:val="auto"/>
          <w:sz w:val="32"/>
        </w:rPr>
        <w:t>漳滏河灌区2018年度续建配套和节水改造项目共分为3个单位工程，20个分部工程，861个单元工程于2018年12月28日完成工程竣工验收，本工程经单元工程、分部工程、单位工程等各阶段质量检测及评定，工程质量全部合格。</w:t>
      </w:r>
    </w:p>
    <w:p>
      <w:pPr>
        <w:spacing w:line="360" w:lineRule="auto"/>
        <w:ind w:firstLine="640"/>
        <w:rPr>
          <w:rFonts w:hint="eastAsia"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3</w:t>
      </w:r>
      <w:r>
        <w:rPr>
          <w:rFonts w:hint="eastAsia" w:ascii="仿宋_GB2312" w:hAnsi="仿宋_GB2312" w:eastAsia="仿宋_GB2312" w:cs="仿宋_GB2312"/>
          <w:bCs/>
          <w:color w:val="auto"/>
          <w:sz w:val="32"/>
          <w:szCs w:val="32"/>
          <w:lang w:val="en-US" w:eastAsia="zh-CN"/>
        </w:rPr>
        <w:t>.</w:t>
      </w:r>
      <w:r>
        <w:rPr>
          <w:rFonts w:hint="eastAsia" w:ascii="仿宋_GB2312" w:hAnsi="仿宋_GB2312" w:eastAsia="仿宋_GB2312" w:cs="仿宋_GB2312"/>
          <w:bCs/>
          <w:color w:val="auto"/>
          <w:sz w:val="32"/>
          <w:szCs w:val="32"/>
        </w:rPr>
        <w:t>时效指标完成情况</w:t>
      </w:r>
    </w:p>
    <w:p>
      <w:pPr>
        <w:spacing w:line="360" w:lineRule="auto"/>
        <w:ind w:firstLine="640"/>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32"/>
          <w:szCs w:val="32"/>
        </w:rPr>
        <w:t xml:space="preserve"> 预计完成日期 2018年 11月；实际完成日期 2018 年     11月。</w:t>
      </w:r>
    </w:p>
    <w:p>
      <w:pPr>
        <w:spacing w:line="360" w:lineRule="auto"/>
        <w:rPr>
          <w:rFonts w:hint="eastAsia"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lang w:eastAsia="zh-CN"/>
        </w:rPr>
        <w:t>　　</w:t>
      </w:r>
      <w:r>
        <w:rPr>
          <w:rFonts w:hint="eastAsia" w:ascii="仿宋_GB2312" w:hAnsi="仿宋_GB2312" w:eastAsia="仿宋_GB2312" w:cs="仿宋_GB2312"/>
          <w:bCs/>
          <w:color w:val="auto"/>
          <w:sz w:val="32"/>
          <w:szCs w:val="32"/>
        </w:rPr>
        <w:t>4</w:t>
      </w:r>
      <w:r>
        <w:rPr>
          <w:rFonts w:hint="eastAsia" w:ascii="仿宋_GB2312" w:hAnsi="仿宋_GB2312" w:eastAsia="仿宋_GB2312" w:cs="仿宋_GB2312"/>
          <w:bCs/>
          <w:color w:val="auto"/>
          <w:sz w:val="32"/>
          <w:szCs w:val="32"/>
          <w:lang w:val="en-US" w:eastAsia="zh-CN"/>
        </w:rPr>
        <w:t>.</w:t>
      </w:r>
      <w:r>
        <w:rPr>
          <w:rFonts w:hint="eastAsia" w:ascii="仿宋_GB2312" w:hAnsi="仿宋_GB2312" w:eastAsia="仿宋_GB2312" w:cs="仿宋_GB2312"/>
          <w:bCs/>
          <w:color w:val="auto"/>
          <w:sz w:val="32"/>
          <w:szCs w:val="32"/>
        </w:rPr>
        <w:t>成本节约情况</w:t>
      </w:r>
      <w:r>
        <w:rPr>
          <w:rFonts w:hint="eastAsia" w:ascii="仿宋_GB2312" w:hAnsi="仿宋_GB2312" w:eastAsia="仿宋_GB2312" w:cs="仿宋_GB2312"/>
          <w:color w:val="auto"/>
          <w:sz w:val="32"/>
        </w:rPr>
        <w:t>漳滏河灌区2018年度续建配套和节水改造项目实际完成总投资1721.71万元，其中：工程投资1539.14万元，待摊费用投资182.57万元。工程结余资金278.29万元。</w:t>
      </w:r>
    </w:p>
    <w:p>
      <w:pPr>
        <w:spacing w:line="360" w:lineRule="auto"/>
        <w:rPr>
          <w:rFonts w:hint="eastAsia" w:ascii="仿宋_GB2312" w:hAnsi="仿宋_GB2312" w:eastAsia="仿宋_GB2312" w:cs="仿宋_GB2312"/>
          <w:color w:val="auto"/>
          <w:sz w:val="32"/>
        </w:rPr>
      </w:pPr>
      <w:r>
        <w:rPr>
          <w:rFonts w:hint="eastAsia" w:ascii="仿宋_GB2312" w:hAnsi="仿宋_GB2312" w:eastAsia="仿宋_GB2312" w:cs="仿宋_GB2312"/>
          <w:bCs/>
          <w:color w:val="auto"/>
          <w:sz w:val="32"/>
          <w:szCs w:val="32"/>
          <w:lang w:val="en-US" w:eastAsia="zh-CN"/>
        </w:rPr>
        <w:t>　　A</w:t>
      </w:r>
      <w:r>
        <w:rPr>
          <w:rFonts w:hint="eastAsia" w:ascii="仿宋_GB2312" w:hAnsi="仿宋_GB2312" w:eastAsia="仿宋_GB2312" w:cs="仿宋_GB2312"/>
          <w:bCs/>
          <w:color w:val="auto"/>
          <w:sz w:val="32"/>
          <w:szCs w:val="32"/>
        </w:rPr>
        <w:t>、总成本</w:t>
      </w:r>
      <w:r>
        <w:rPr>
          <w:rFonts w:hint="eastAsia" w:ascii="仿宋_GB2312" w:hAnsi="仿宋_GB2312" w:eastAsia="仿宋_GB2312" w:cs="仿宋_GB2312"/>
          <w:color w:val="auto"/>
          <w:sz w:val="32"/>
          <w:szCs w:val="32"/>
        </w:rPr>
        <w:t>节约（超支）情况说明：</w:t>
      </w:r>
      <w:r>
        <w:rPr>
          <w:rFonts w:hint="eastAsia" w:ascii="仿宋_GB2312" w:hAnsi="仿宋_GB2312" w:eastAsia="仿宋_GB2312" w:cs="仿宋_GB2312"/>
          <w:color w:val="auto"/>
          <w:sz w:val="32"/>
        </w:rPr>
        <w:t>工程项目支付严格按照按照招投标文件、合同约定和工程现场实际发生的情况审核，杜绝施工单位多报、瞒报，保证工程款合理、合规的支付。</w:t>
      </w:r>
    </w:p>
    <w:p>
      <w:pPr>
        <w:spacing w:line="36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B</w:t>
      </w:r>
      <w:r>
        <w:rPr>
          <w:rFonts w:hint="eastAsia" w:ascii="仿宋_GB2312" w:hAnsi="仿宋_GB2312" w:eastAsia="仿宋_GB2312" w:cs="仿宋_GB2312"/>
          <w:color w:val="auto"/>
          <w:sz w:val="32"/>
          <w:szCs w:val="32"/>
        </w:rPr>
        <w:t>、改进措施：提高并加强隐蔽工程和施工变更所产生费用的管理，以及竣工结算的成本控制。</w:t>
      </w:r>
    </w:p>
    <w:p>
      <w:pPr>
        <w:spacing w:line="360" w:lineRule="auto"/>
        <w:rPr>
          <w:rFonts w:hint="eastAsia" w:ascii="楷体_GB2312" w:hAnsi="楷体_GB2312" w:eastAsia="楷体_GB2312" w:cs="楷体_GB2312"/>
          <w:b/>
          <w:color w:val="auto"/>
          <w:sz w:val="30"/>
          <w:szCs w:val="30"/>
        </w:rPr>
      </w:pPr>
      <w:r>
        <w:rPr>
          <w:rFonts w:hint="eastAsia" w:ascii="楷体_GB2312" w:hAnsi="楷体_GB2312" w:eastAsia="楷体_GB2312" w:cs="楷体_GB2312"/>
          <w:b/>
          <w:color w:val="auto"/>
          <w:sz w:val="32"/>
          <w:szCs w:val="32"/>
          <w:lang w:eastAsia="zh-CN"/>
        </w:rPr>
        <w:t>　　</w:t>
      </w:r>
      <w:r>
        <w:rPr>
          <w:rFonts w:hint="eastAsia" w:ascii="楷体_GB2312" w:hAnsi="楷体_GB2312" w:eastAsia="楷体_GB2312" w:cs="楷体_GB2312"/>
          <w:b/>
          <w:color w:val="auto"/>
          <w:sz w:val="32"/>
          <w:szCs w:val="32"/>
        </w:rPr>
        <w:t>项目效果指标完成情况分析</w:t>
      </w:r>
    </w:p>
    <w:p>
      <w:pPr>
        <w:ind w:firstLine="640"/>
        <w:rPr>
          <w:rFonts w:hint="eastAsia" w:ascii="仿宋_GB2312" w:hAnsi="仿宋_GB2312" w:eastAsia="仿宋_GB2312" w:cs="仿宋_GB2312"/>
          <w:color w:val="auto"/>
          <w:sz w:val="32"/>
          <w:szCs w:val="32"/>
        </w:rPr>
      </w:pPr>
      <w:r>
        <w:rPr>
          <w:rFonts w:hint="eastAsia" w:ascii="楷体_GB2312" w:hAnsi="楷体_GB2312" w:eastAsia="楷体_GB2312" w:cs="楷体_GB2312"/>
          <w:b/>
          <w:color w:val="auto"/>
          <w:sz w:val="24"/>
        </w:rPr>
        <w:t xml:space="preserve"> </w:t>
      </w:r>
      <w:r>
        <w:rPr>
          <w:rFonts w:hint="eastAsia" w:ascii="仿宋_GB2312" w:hAnsi="仿宋_GB2312" w:eastAsia="仿宋_GB2312" w:cs="仿宋_GB2312"/>
          <w:bCs/>
          <w:color w:val="auto"/>
          <w:sz w:val="32"/>
          <w:szCs w:val="32"/>
        </w:rPr>
        <w:t>1</w:t>
      </w:r>
      <w:r>
        <w:rPr>
          <w:rFonts w:hint="eastAsia" w:ascii="仿宋_GB2312" w:hAnsi="仿宋_GB2312" w:eastAsia="仿宋_GB2312" w:cs="仿宋_GB2312"/>
          <w:bCs/>
          <w:color w:val="auto"/>
          <w:sz w:val="32"/>
          <w:szCs w:val="32"/>
          <w:lang w:val="en-US" w:eastAsia="zh-CN"/>
        </w:rPr>
        <w:t>.</w:t>
      </w:r>
      <w:r>
        <w:rPr>
          <w:rFonts w:hint="eastAsia" w:ascii="仿宋_GB2312" w:hAnsi="仿宋_GB2312" w:eastAsia="仿宋_GB2312" w:cs="仿宋_GB2312"/>
          <w:bCs/>
          <w:color w:val="auto"/>
          <w:sz w:val="32"/>
          <w:szCs w:val="32"/>
        </w:rPr>
        <w:t>项目实现的经济效益分析</w:t>
      </w:r>
      <w:r>
        <w:rPr>
          <w:rFonts w:hint="eastAsia" w:ascii="仿宋_GB2312" w:hAnsi="仿宋_GB2312" w:eastAsia="仿宋_GB2312" w:cs="仿宋_GB2312"/>
          <w:bCs/>
          <w:color w:val="auto"/>
          <w:sz w:val="32"/>
          <w:szCs w:val="32"/>
          <w:lang w:val="en-US" w:eastAsia="zh-CN"/>
        </w:rPr>
        <w:t>:</w:t>
      </w:r>
      <w:r>
        <w:rPr>
          <w:rFonts w:hint="eastAsia" w:ascii="仿宋_GB2312" w:hAnsi="仿宋_GB2312" w:eastAsia="仿宋_GB2312" w:cs="仿宋_GB2312"/>
          <w:color w:val="auto"/>
          <w:sz w:val="32"/>
          <w:szCs w:val="32"/>
        </w:rPr>
        <w:t>项目实施后，项目区内渠系水利用系数由0.51提高到0.6，灌溉保证率提高到50%，节约水量218万m3，节约水量用于农业灌溉。项目实施后可改善灌溉面积3万亩，恢复灌溉面积1万亩，年增产小麦和秋粮280万kg，年增农业产值616万元。采用灌溉效益分摊系数为0.4，则年灌溉效益为246万元。本项目经济内部收益率EIRR 为8.4%，社会折现率采用8%时，经济净现值ENPV 为87.93万元，经济效益费用比为1.03。</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lang w:eastAsia="zh-CN"/>
        </w:rPr>
        <w:t>　　</w:t>
      </w:r>
      <w:r>
        <w:rPr>
          <w:rFonts w:hint="eastAsia" w:ascii="仿宋_GB2312" w:hAnsi="仿宋_GB2312" w:eastAsia="仿宋_GB2312" w:cs="仿宋_GB2312"/>
          <w:bCs/>
          <w:color w:val="auto"/>
          <w:sz w:val="32"/>
          <w:szCs w:val="32"/>
        </w:rPr>
        <w:t>2</w:t>
      </w:r>
      <w:r>
        <w:rPr>
          <w:rFonts w:hint="eastAsia" w:ascii="仿宋_GB2312" w:hAnsi="仿宋_GB2312" w:eastAsia="仿宋_GB2312" w:cs="仿宋_GB2312"/>
          <w:bCs/>
          <w:color w:val="auto"/>
          <w:sz w:val="32"/>
          <w:szCs w:val="32"/>
          <w:lang w:val="en-US" w:eastAsia="zh-CN"/>
        </w:rPr>
        <w:t>.</w:t>
      </w:r>
      <w:r>
        <w:rPr>
          <w:rFonts w:hint="eastAsia" w:ascii="仿宋_GB2312" w:hAnsi="仿宋_GB2312" w:eastAsia="仿宋_GB2312" w:cs="仿宋_GB2312"/>
          <w:bCs/>
          <w:color w:val="auto"/>
          <w:sz w:val="32"/>
          <w:szCs w:val="32"/>
        </w:rPr>
        <w:t>项目实现的社会效益分析</w:t>
      </w:r>
      <w:r>
        <w:rPr>
          <w:rFonts w:hint="eastAsia" w:ascii="仿宋_GB2312" w:hAnsi="仿宋_GB2312" w:eastAsia="仿宋_GB2312" w:cs="仿宋_GB2312"/>
          <w:bCs/>
          <w:color w:val="auto"/>
          <w:sz w:val="32"/>
          <w:szCs w:val="32"/>
          <w:lang w:val="en-US" w:eastAsia="zh-CN"/>
        </w:rPr>
        <w:t>:</w:t>
      </w:r>
      <w:r>
        <w:rPr>
          <w:rFonts w:hint="eastAsia" w:ascii="仿宋_GB2312" w:hAnsi="仿宋_GB2312" w:eastAsia="仿宋_GB2312" w:cs="仿宋_GB2312"/>
          <w:color w:val="auto"/>
          <w:sz w:val="32"/>
          <w:szCs w:val="32"/>
        </w:rPr>
        <w:t>工程实施后，在很大程度上改善了灌区工程条件和农业生产条件，骨干渠道的安全输水能力明显增大，轮灌周期缩短，农田适时灌溉保障程度提高。同时也促进了灌区基层管理体制和投入机制改革的深入进行，推动了灌区内群众投资水利工程的积极性，同时还可以规范土地合理利用和开发，保障社会和谐安定，促进人类文明的进一步发展，提高了该地区竞争能力，产生了巨大的社会效益。</w:t>
      </w:r>
    </w:p>
    <w:p>
      <w:pPr>
        <w:tabs>
          <w:tab w:val="center" w:pos="4153"/>
        </w:tabs>
        <w:spacing w:line="360" w:lineRule="auto"/>
        <w:rPr>
          <w:rFonts w:hint="eastAsia"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 xml:space="preserve"> </w:t>
      </w:r>
      <w:r>
        <w:rPr>
          <w:rFonts w:hint="eastAsia" w:ascii="仿宋_GB2312" w:hAnsi="仿宋_GB2312" w:eastAsia="仿宋_GB2312" w:cs="仿宋_GB2312"/>
          <w:bCs/>
          <w:color w:val="auto"/>
          <w:sz w:val="32"/>
          <w:szCs w:val="32"/>
          <w:lang w:eastAsia="zh-CN"/>
        </w:rPr>
        <w:t>　　</w:t>
      </w:r>
      <w:r>
        <w:rPr>
          <w:rFonts w:hint="eastAsia" w:ascii="仿宋_GB2312" w:hAnsi="仿宋_GB2312" w:eastAsia="仿宋_GB2312" w:cs="仿宋_GB2312"/>
          <w:bCs/>
          <w:color w:val="auto"/>
          <w:sz w:val="32"/>
          <w:szCs w:val="32"/>
          <w:lang w:val="en-US" w:eastAsia="zh-CN"/>
        </w:rPr>
        <w:t>3.</w:t>
      </w:r>
      <w:r>
        <w:rPr>
          <w:rFonts w:hint="eastAsia" w:ascii="仿宋_GB2312" w:hAnsi="仿宋_GB2312" w:eastAsia="仿宋_GB2312" w:cs="仿宋_GB2312"/>
          <w:bCs/>
          <w:color w:val="auto"/>
          <w:sz w:val="32"/>
          <w:szCs w:val="32"/>
        </w:rPr>
        <w:t>项目实现的生态效益分析</w:t>
      </w:r>
      <w:r>
        <w:rPr>
          <w:rFonts w:hint="eastAsia" w:ascii="仿宋_GB2312" w:hAnsi="仿宋_GB2312" w:eastAsia="仿宋_GB2312" w:cs="仿宋_GB2312"/>
          <w:bCs/>
          <w:color w:val="auto"/>
          <w:sz w:val="32"/>
          <w:szCs w:val="32"/>
        </w:rPr>
        <w:tab/>
      </w:r>
      <w:r>
        <w:rPr>
          <w:rFonts w:hint="eastAsia" w:ascii="仿宋_GB2312" w:hAnsi="仿宋_GB2312" w:eastAsia="仿宋_GB2312" w:cs="仿宋_GB2312"/>
          <w:bCs/>
          <w:color w:val="auto"/>
          <w:sz w:val="32"/>
          <w:szCs w:val="32"/>
          <w:lang w:val="en-US" w:eastAsia="zh-CN"/>
        </w:rPr>
        <w:t>:</w:t>
      </w:r>
      <w:r>
        <w:rPr>
          <w:rFonts w:hint="eastAsia" w:ascii="仿宋_GB2312" w:hAnsi="仿宋_GB2312" w:eastAsia="仿宋_GB2312" w:cs="仿宋_GB2312"/>
          <w:color w:val="auto"/>
          <w:sz w:val="32"/>
          <w:szCs w:val="32"/>
        </w:rPr>
        <w:t>工程实施可以提高灌区节水灌溉能力，为涵养地下水创造条件，改善当地生态环境。</w:t>
      </w:r>
    </w:p>
    <w:p>
      <w:pPr>
        <w:spacing w:line="360" w:lineRule="auto"/>
        <w:rPr>
          <w:rFonts w:hint="eastAsia"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 xml:space="preserve"> </w:t>
      </w:r>
      <w:r>
        <w:rPr>
          <w:rFonts w:hint="eastAsia" w:ascii="仿宋_GB2312" w:hAnsi="仿宋_GB2312" w:eastAsia="仿宋_GB2312" w:cs="仿宋_GB2312"/>
          <w:bCs/>
          <w:color w:val="auto"/>
          <w:sz w:val="32"/>
          <w:szCs w:val="32"/>
          <w:lang w:eastAsia="zh-CN"/>
        </w:rPr>
        <w:t>　　</w:t>
      </w:r>
      <w:r>
        <w:rPr>
          <w:rFonts w:hint="eastAsia" w:ascii="仿宋_GB2312" w:hAnsi="仿宋_GB2312" w:eastAsia="仿宋_GB2312" w:cs="仿宋_GB2312"/>
          <w:bCs/>
          <w:color w:val="auto"/>
          <w:sz w:val="32"/>
          <w:szCs w:val="32"/>
          <w:lang w:val="en-US" w:eastAsia="zh-CN"/>
        </w:rPr>
        <w:t>4.</w:t>
      </w:r>
      <w:r>
        <w:rPr>
          <w:rFonts w:hint="eastAsia" w:ascii="仿宋_GB2312" w:hAnsi="仿宋_GB2312" w:eastAsia="仿宋_GB2312" w:cs="仿宋_GB2312"/>
          <w:bCs/>
          <w:color w:val="auto"/>
          <w:sz w:val="32"/>
          <w:szCs w:val="32"/>
        </w:rPr>
        <w:t>项目实现的文化效益分析</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 xml:space="preserve"> </w:t>
      </w:r>
      <w:r>
        <w:rPr>
          <w:rFonts w:hint="eastAsia" w:ascii="仿宋_GB2312" w:hAnsi="仿宋_GB2312" w:eastAsia="仿宋_GB2312" w:cs="仿宋_GB2312"/>
          <w:bCs/>
          <w:color w:val="auto"/>
          <w:sz w:val="32"/>
          <w:szCs w:val="32"/>
          <w:lang w:eastAsia="zh-CN"/>
        </w:rPr>
        <w:t>　　</w:t>
      </w:r>
      <w:r>
        <w:rPr>
          <w:rFonts w:hint="eastAsia" w:ascii="仿宋_GB2312" w:hAnsi="仿宋_GB2312" w:eastAsia="仿宋_GB2312" w:cs="仿宋_GB2312"/>
          <w:bCs/>
          <w:color w:val="auto"/>
          <w:sz w:val="32"/>
          <w:szCs w:val="32"/>
          <w:lang w:val="en-US" w:eastAsia="zh-CN"/>
        </w:rPr>
        <w:t>5.</w:t>
      </w:r>
      <w:r>
        <w:rPr>
          <w:rFonts w:hint="eastAsia" w:ascii="仿宋_GB2312" w:hAnsi="仿宋_GB2312" w:eastAsia="仿宋_GB2312" w:cs="仿宋_GB2312"/>
          <w:bCs/>
          <w:color w:val="auto"/>
          <w:sz w:val="32"/>
          <w:szCs w:val="32"/>
        </w:rPr>
        <w:t>项目实现的可持续影响分析</w:t>
      </w:r>
      <w:r>
        <w:rPr>
          <w:rFonts w:hint="eastAsia" w:ascii="仿宋_GB2312" w:hAnsi="仿宋_GB2312" w:eastAsia="仿宋_GB2312" w:cs="仿宋_GB2312"/>
          <w:bCs/>
          <w:color w:val="auto"/>
          <w:sz w:val="32"/>
          <w:szCs w:val="32"/>
          <w:lang w:val="en-US" w:eastAsia="zh-CN"/>
        </w:rPr>
        <w:t>:</w:t>
      </w:r>
      <w:r>
        <w:rPr>
          <w:rFonts w:hint="eastAsia" w:ascii="仿宋_GB2312" w:hAnsi="仿宋_GB2312" w:eastAsia="仿宋_GB2312" w:cs="仿宋_GB2312"/>
          <w:snapToGrid w:val="0"/>
          <w:color w:val="auto"/>
          <w:kern w:val="28"/>
          <w:sz w:val="32"/>
          <w:szCs w:val="32"/>
        </w:rPr>
        <w:t>项目实施后，</w:t>
      </w:r>
      <w:r>
        <w:rPr>
          <w:rFonts w:hint="eastAsia" w:ascii="仿宋_GB2312" w:hAnsi="仿宋_GB2312" w:eastAsia="仿宋_GB2312" w:cs="仿宋_GB2312"/>
          <w:color w:val="auto"/>
          <w:sz w:val="32"/>
          <w:szCs w:val="32"/>
        </w:rPr>
        <w:t>既具有节水、增产等直接经济效益，还具有改善水环境，提高农业生产能力的社会效益和生态环境效益。</w:t>
      </w:r>
    </w:p>
    <w:p>
      <w:pPr>
        <w:numPr>
          <w:ilvl w:val="0"/>
          <w:numId w:val="0"/>
        </w:numPr>
        <w:spacing w:line="360" w:lineRule="auto"/>
        <w:rPr>
          <w:rFonts w:hint="eastAsia" w:ascii="楷体_GB2312" w:hAnsi="楷体_GB2312" w:eastAsia="楷体_GB2312" w:cs="楷体_GB2312"/>
          <w:b/>
          <w:color w:val="auto"/>
          <w:sz w:val="32"/>
          <w:szCs w:val="32"/>
        </w:rPr>
      </w:pPr>
      <w:r>
        <w:rPr>
          <w:rFonts w:hint="eastAsia" w:ascii="楷体_GB2312" w:hAnsi="楷体_GB2312" w:eastAsia="楷体_GB2312" w:cs="楷体_GB2312"/>
          <w:b/>
          <w:color w:val="auto"/>
          <w:sz w:val="32"/>
          <w:szCs w:val="32"/>
          <w:lang w:eastAsia="zh-CN"/>
        </w:rPr>
        <w:t>　　</w:t>
      </w:r>
      <w:r>
        <w:rPr>
          <w:rFonts w:hint="eastAsia" w:ascii="楷体_GB2312" w:hAnsi="楷体_GB2312" w:eastAsia="楷体_GB2312" w:cs="楷体_GB2312"/>
          <w:b/>
          <w:color w:val="auto"/>
          <w:sz w:val="32"/>
          <w:szCs w:val="32"/>
        </w:rPr>
        <w:t>满意度指标完成情况分析</w:t>
      </w:r>
    </w:p>
    <w:p>
      <w:pPr>
        <w:numPr>
          <w:ilvl w:val="0"/>
          <w:numId w:val="0"/>
        </w:numPr>
        <w:jc w:val="both"/>
        <w:rPr>
          <w:rFonts w:hint="eastAsia"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lang w:val="en-US" w:eastAsia="zh-CN"/>
        </w:rPr>
        <w:t>　　1.</w:t>
      </w:r>
      <w:r>
        <w:rPr>
          <w:rFonts w:hint="eastAsia" w:ascii="仿宋_GB2312" w:hAnsi="仿宋_GB2312" w:eastAsia="仿宋_GB2312" w:cs="仿宋_GB2312"/>
          <w:bCs/>
          <w:color w:val="auto"/>
          <w:sz w:val="32"/>
          <w:szCs w:val="32"/>
        </w:rPr>
        <w:t>满意度指标抽样调查的开展情况（主要包括：调查表格式、调查时间、抽样人次等）</w:t>
      </w:r>
    </w:p>
    <w:p>
      <w:pPr>
        <w:jc w:val="center"/>
        <w:rPr>
          <w:rFonts w:hint="eastAsia"/>
          <w:color w:val="auto"/>
          <w:sz w:val="24"/>
        </w:rPr>
      </w:pPr>
    </w:p>
    <w:p>
      <w:pPr>
        <w:jc w:val="center"/>
        <w:rPr>
          <w:color w:val="auto"/>
          <w:sz w:val="24"/>
        </w:rPr>
      </w:pPr>
      <w:r>
        <w:rPr>
          <w:rFonts w:hint="eastAsia"/>
          <w:color w:val="auto"/>
          <w:sz w:val="24"/>
        </w:rPr>
        <w:t>漳滏河灌区续建配套和节水改造项目满意度调查统计表</w:t>
      </w:r>
    </w:p>
    <w:tbl>
      <w:tblPr>
        <w:tblStyle w:val="12"/>
        <w:tblW w:w="0" w:type="auto"/>
        <w:tblInd w:w="0" w:type="dxa"/>
        <w:tblLayout w:type="fixed"/>
        <w:tblCellMar>
          <w:top w:w="0" w:type="dxa"/>
          <w:left w:w="108" w:type="dxa"/>
          <w:bottom w:w="0" w:type="dxa"/>
          <w:right w:w="108" w:type="dxa"/>
        </w:tblCellMar>
      </w:tblPr>
      <w:tblGrid>
        <w:gridCol w:w="2337"/>
        <w:gridCol w:w="2609"/>
        <w:gridCol w:w="1998"/>
        <w:gridCol w:w="1578"/>
      </w:tblGrid>
      <w:tr>
        <w:tblPrEx>
          <w:tblCellMar>
            <w:top w:w="0" w:type="dxa"/>
            <w:left w:w="108" w:type="dxa"/>
            <w:bottom w:w="0" w:type="dxa"/>
            <w:right w:w="108" w:type="dxa"/>
          </w:tblCellMar>
        </w:tblPrEx>
        <w:trPr>
          <w:trHeight w:val="480" w:hRule="atLeast"/>
          <w:tblHeader/>
        </w:trPr>
        <w:tc>
          <w:tcPr>
            <w:tcW w:w="2337"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kern w:val="0"/>
                <w:sz w:val="24"/>
              </w:rPr>
            </w:pPr>
            <w:r>
              <w:rPr>
                <w:rFonts w:hint="eastAsia"/>
                <w:color w:val="auto"/>
                <w:kern w:val="0"/>
                <w:sz w:val="24"/>
              </w:rPr>
              <w:t>县</w:t>
            </w:r>
            <w:r>
              <w:rPr>
                <w:color w:val="auto"/>
                <w:kern w:val="0"/>
                <w:sz w:val="24"/>
              </w:rPr>
              <w:t>级</w:t>
            </w:r>
          </w:p>
        </w:tc>
        <w:tc>
          <w:tcPr>
            <w:tcW w:w="2609" w:type="dxa"/>
            <w:tcBorders>
              <w:top w:val="single" w:color="auto" w:sz="4" w:space="0"/>
              <w:left w:val="nil"/>
              <w:bottom w:val="single" w:color="auto" w:sz="4" w:space="0"/>
              <w:right w:val="single" w:color="auto" w:sz="4" w:space="0"/>
            </w:tcBorders>
            <w:noWrap w:val="0"/>
            <w:vAlign w:val="center"/>
          </w:tcPr>
          <w:p>
            <w:pPr>
              <w:jc w:val="center"/>
              <w:rPr>
                <w:color w:val="auto"/>
                <w:kern w:val="0"/>
                <w:sz w:val="24"/>
              </w:rPr>
            </w:pPr>
            <w:r>
              <w:rPr>
                <w:color w:val="auto"/>
                <w:kern w:val="0"/>
                <w:sz w:val="24"/>
              </w:rPr>
              <w:t>调查问卷数（份）</w:t>
            </w:r>
          </w:p>
        </w:tc>
        <w:tc>
          <w:tcPr>
            <w:tcW w:w="1998" w:type="dxa"/>
            <w:tcBorders>
              <w:top w:val="single" w:color="auto" w:sz="4" w:space="0"/>
              <w:left w:val="nil"/>
              <w:bottom w:val="single" w:color="auto" w:sz="4" w:space="0"/>
              <w:right w:val="single" w:color="auto" w:sz="4" w:space="0"/>
            </w:tcBorders>
            <w:noWrap w:val="0"/>
            <w:vAlign w:val="center"/>
          </w:tcPr>
          <w:p>
            <w:pPr>
              <w:jc w:val="center"/>
              <w:rPr>
                <w:color w:val="auto"/>
                <w:kern w:val="0"/>
                <w:sz w:val="24"/>
              </w:rPr>
            </w:pPr>
            <w:r>
              <w:rPr>
                <w:color w:val="auto"/>
                <w:kern w:val="0"/>
                <w:sz w:val="24"/>
              </w:rPr>
              <w:t>平均满意度（分）</w:t>
            </w:r>
          </w:p>
        </w:tc>
        <w:tc>
          <w:tcPr>
            <w:tcW w:w="1578" w:type="dxa"/>
            <w:tcBorders>
              <w:top w:val="single" w:color="auto" w:sz="4" w:space="0"/>
              <w:left w:val="nil"/>
              <w:bottom w:val="single" w:color="auto" w:sz="4" w:space="0"/>
              <w:right w:val="single" w:color="auto" w:sz="4" w:space="0"/>
            </w:tcBorders>
            <w:noWrap w:val="0"/>
            <w:vAlign w:val="center"/>
          </w:tcPr>
          <w:p>
            <w:pPr>
              <w:jc w:val="center"/>
              <w:rPr>
                <w:color w:val="auto"/>
                <w:kern w:val="0"/>
                <w:sz w:val="24"/>
              </w:rPr>
            </w:pPr>
            <w:r>
              <w:rPr>
                <w:rFonts w:hint="eastAsia"/>
                <w:color w:val="auto"/>
                <w:kern w:val="0"/>
                <w:sz w:val="24"/>
              </w:rPr>
              <w:t>调查时间</w:t>
            </w:r>
          </w:p>
        </w:tc>
      </w:tr>
      <w:tr>
        <w:tblPrEx>
          <w:tblCellMar>
            <w:top w:w="0" w:type="dxa"/>
            <w:left w:w="108" w:type="dxa"/>
            <w:bottom w:w="0" w:type="dxa"/>
            <w:right w:w="108" w:type="dxa"/>
          </w:tblCellMar>
        </w:tblPrEx>
        <w:trPr>
          <w:trHeight w:val="288" w:hRule="atLeast"/>
        </w:trPr>
        <w:tc>
          <w:tcPr>
            <w:tcW w:w="2337" w:type="dxa"/>
            <w:tcBorders>
              <w:top w:val="nil"/>
              <w:left w:val="single" w:color="auto" w:sz="4" w:space="0"/>
              <w:bottom w:val="single" w:color="auto" w:sz="4" w:space="0"/>
              <w:right w:val="single" w:color="auto" w:sz="4" w:space="0"/>
            </w:tcBorders>
            <w:noWrap w:val="0"/>
            <w:vAlign w:val="center"/>
          </w:tcPr>
          <w:p>
            <w:pPr>
              <w:jc w:val="center"/>
              <w:rPr>
                <w:color w:val="auto"/>
                <w:kern w:val="0"/>
                <w:sz w:val="24"/>
              </w:rPr>
            </w:pPr>
            <w:r>
              <w:rPr>
                <w:color w:val="auto"/>
                <w:kern w:val="0"/>
                <w:sz w:val="24"/>
              </w:rPr>
              <w:t>合计</w:t>
            </w:r>
          </w:p>
        </w:tc>
        <w:tc>
          <w:tcPr>
            <w:tcW w:w="2609" w:type="dxa"/>
            <w:tcBorders>
              <w:top w:val="nil"/>
              <w:left w:val="nil"/>
              <w:bottom w:val="single" w:color="auto" w:sz="4" w:space="0"/>
              <w:right w:val="single" w:color="auto" w:sz="4" w:space="0"/>
            </w:tcBorders>
            <w:noWrap w:val="0"/>
            <w:vAlign w:val="center"/>
          </w:tcPr>
          <w:p>
            <w:pPr>
              <w:jc w:val="center"/>
              <w:rPr>
                <w:color w:val="auto"/>
                <w:kern w:val="0"/>
                <w:sz w:val="24"/>
              </w:rPr>
            </w:pPr>
            <w:r>
              <w:rPr>
                <w:rFonts w:hint="eastAsia"/>
                <w:color w:val="auto"/>
                <w:kern w:val="0"/>
                <w:sz w:val="24"/>
              </w:rPr>
              <w:t>20</w:t>
            </w:r>
          </w:p>
        </w:tc>
        <w:tc>
          <w:tcPr>
            <w:tcW w:w="1998" w:type="dxa"/>
            <w:tcBorders>
              <w:top w:val="nil"/>
              <w:left w:val="nil"/>
              <w:bottom w:val="single" w:color="auto" w:sz="4" w:space="0"/>
              <w:right w:val="single" w:color="auto" w:sz="4" w:space="0"/>
            </w:tcBorders>
            <w:noWrap w:val="0"/>
            <w:vAlign w:val="center"/>
          </w:tcPr>
          <w:p>
            <w:pPr>
              <w:jc w:val="center"/>
              <w:rPr>
                <w:color w:val="auto"/>
                <w:kern w:val="0"/>
                <w:sz w:val="24"/>
              </w:rPr>
            </w:pPr>
            <w:r>
              <w:rPr>
                <w:rFonts w:hint="eastAsia"/>
                <w:color w:val="auto"/>
                <w:kern w:val="0"/>
                <w:sz w:val="24"/>
              </w:rPr>
              <w:t>96.5</w:t>
            </w:r>
          </w:p>
        </w:tc>
        <w:tc>
          <w:tcPr>
            <w:tcW w:w="1578" w:type="dxa"/>
            <w:tcBorders>
              <w:top w:val="nil"/>
              <w:left w:val="nil"/>
              <w:bottom w:val="single" w:color="auto" w:sz="4" w:space="0"/>
              <w:right w:val="single" w:color="auto" w:sz="4" w:space="0"/>
            </w:tcBorders>
            <w:noWrap w:val="0"/>
            <w:vAlign w:val="center"/>
          </w:tcPr>
          <w:p>
            <w:pPr>
              <w:jc w:val="center"/>
              <w:rPr>
                <w:color w:val="auto"/>
                <w:kern w:val="0"/>
                <w:sz w:val="24"/>
              </w:rPr>
            </w:pPr>
          </w:p>
        </w:tc>
      </w:tr>
      <w:tr>
        <w:tblPrEx>
          <w:tblCellMar>
            <w:top w:w="0" w:type="dxa"/>
            <w:left w:w="108" w:type="dxa"/>
            <w:bottom w:w="0" w:type="dxa"/>
            <w:right w:w="108" w:type="dxa"/>
          </w:tblCellMar>
        </w:tblPrEx>
        <w:trPr>
          <w:trHeight w:val="288" w:hRule="atLeast"/>
        </w:trPr>
        <w:tc>
          <w:tcPr>
            <w:tcW w:w="2337" w:type="dxa"/>
            <w:tcBorders>
              <w:top w:val="nil"/>
              <w:left w:val="single" w:color="auto" w:sz="4" w:space="0"/>
              <w:bottom w:val="single" w:color="auto" w:sz="4" w:space="0"/>
              <w:right w:val="single" w:color="auto" w:sz="4" w:space="0"/>
            </w:tcBorders>
            <w:noWrap w:val="0"/>
            <w:vAlign w:val="center"/>
          </w:tcPr>
          <w:p>
            <w:pPr>
              <w:jc w:val="center"/>
              <w:rPr>
                <w:color w:val="auto"/>
                <w:kern w:val="0"/>
                <w:sz w:val="24"/>
              </w:rPr>
            </w:pPr>
            <w:r>
              <w:rPr>
                <w:rFonts w:hint="eastAsia"/>
                <w:color w:val="auto"/>
                <w:kern w:val="0"/>
                <w:sz w:val="24"/>
              </w:rPr>
              <w:t>临漳县1</w:t>
            </w:r>
          </w:p>
        </w:tc>
        <w:tc>
          <w:tcPr>
            <w:tcW w:w="2609" w:type="dxa"/>
            <w:tcBorders>
              <w:top w:val="nil"/>
              <w:left w:val="nil"/>
              <w:bottom w:val="single" w:color="auto" w:sz="4" w:space="0"/>
              <w:right w:val="single" w:color="auto" w:sz="4" w:space="0"/>
            </w:tcBorders>
            <w:noWrap w:val="0"/>
            <w:vAlign w:val="center"/>
          </w:tcPr>
          <w:p>
            <w:pPr>
              <w:jc w:val="center"/>
              <w:rPr>
                <w:color w:val="auto"/>
                <w:kern w:val="0"/>
                <w:sz w:val="24"/>
              </w:rPr>
            </w:pPr>
            <w:r>
              <w:rPr>
                <w:rFonts w:hint="eastAsia"/>
                <w:color w:val="auto"/>
                <w:kern w:val="0"/>
                <w:sz w:val="24"/>
              </w:rPr>
              <w:t>10</w:t>
            </w:r>
          </w:p>
        </w:tc>
        <w:tc>
          <w:tcPr>
            <w:tcW w:w="1998" w:type="dxa"/>
            <w:tcBorders>
              <w:top w:val="nil"/>
              <w:left w:val="nil"/>
              <w:bottom w:val="single" w:color="auto" w:sz="4" w:space="0"/>
              <w:right w:val="single" w:color="auto" w:sz="4" w:space="0"/>
            </w:tcBorders>
            <w:noWrap w:val="0"/>
            <w:vAlign w:val="center"/>
          </w:tcPr>
          <w:p>
            <w:pPr>
              <w:jc w:val="center"/>
              <w:rPr>
                <w:color w:val="auto"/>
                <w:kern w:val="0"/>
                <w:sz w:val="24"/>
              </w:rPr>
            </w:pPr>
            <w:r>
              <w:rPr>
                <w:rFonts w:hint="eastAsia"/>
                <w:color w:val="auto"/>
                <w:kern w:val="0"/>
                <w:sz w:val="24"/>
              </w:rPr>
              <w:t>95</w:t>
            </w:r>
          </w:p>
        </w:tc>
        <w:tc>
          <w:tcPr>
            <w:tcW w:w="1578" w:type="dxa"/>
            <w:tcBorders>
              <w:top w:val="nil"/>
              <w:left w:val="nil"/>
              <w:bottom w:val="single" w:color="auto" w:sz="4" w:space="0"/>
              <w:right w:val="single" w:color="auto" w:sz="4" w:space="0"/>
            </w:tcBorders>
            <w:noWrap w:val="0"/>
            <w:vAlign w:val="center"/>
          </w:tcPr>
          <w:p>
            <w:pPr>
              <w:jc w:val="center"/>
              <w:rPr>
                <w:color w:val="auto"/>
                <w:kern w:val="0"/>
                <w:sz w:val="24"/>
              </w:rPr>
            </w:pPr>
            <w:r>
              <w:rPr>
                <w:rFonts w:hint="eastAsia"/>
                <w:color w:val="auto"/>
                <w:kern w:val="0"/>
                <w:sz w:val="24"/>
              </w:rPr>
              <w:t>2018年9月</w:t>
            </w:r>
          </w:p>
        </w:tc>
      </w:tr>
      <w:tr>
        <w:tblPrEx>
          <w:tblCellMar>
            <w:top w:w="0" w:type="dxa"/>
            <w:left w:w="108" w:type="dxa"/>
            <w:bottom w:w="0" w:type="dxa"/>
            <w:right w:w="108" w:type="dxa"/>
          </w:tblCellMar>
        </w:tblPrEx>
        <w:trPr>
          <w:trHeight w:val="288" w:hRule="atLeast"/>
        </w:trPr>
        <w:tc>
          <w:tcPr>
            <w:tcW w:w="2337" w:type="dxa"/>
            <w:tcBorders>
              <w:top w:val="nil"/>
              <w:left w:val="single" w:color="auto" w:sz="4" w:space="0"/>
              <w:bottom w:val="single" w:color="auto" w:sz="4" w:space="0"/>
              <w:right w:val="single" w:color="auto" w:sz="4" w:space="0"/>
            </w:tcBorders>
            <w:noWrap w:val="0"/>
            <w:vAlign w:val="center"/>
          </w:tcPr>
          <w:p>
            <w:pPr>
              <w:jc w:val="center"/>
              <w:rPr>
                <w:color w:val="auto"/>
                <w:kern w:val="0"/>
                <w:sz w:val="24"/>
              </w:rPr>
            </w:pPr>
            <w:r>
              <w:rPr>
                <w:rFonts w:hint="eastAsia"/>
                <w:color w:val="auto"/>
                <w:kern w:val="0"/>
                <w:sz w:val="24"/>
              </w:rPr>
              <w:t>成安县2</w:t>
            </w:r>
          </w:p>
        </w:tc>
        <w:tc>
          <w:tcPr>
            <w:tcW w:w="2609" w:type="dxa"/>
            <w:tcBorders>
              <w:top w:val="nil"/>
              <w:left w:val="nil"/>
              <w:bottom w:val="single" w:color="auto" w:sz="4" w:space="0"/>
              <w:right w:val="single" w:color="auto" w:sz="4" w:space="0"/>
            </w:tcBorders>
            <w:noWrap w:val="0"/>
            <w:vAlign w:val="center"/>
          </w:tcPr>
          <w:p>
            <w:pPr>
              <w:jc w:val="center"/>
              <w:rPr>
                <w:color w:val="auto"/>
                <w:kern w:val="0"/>
                <w:sz w:val="24"/>
              </w:rPr>
            </w:pPr>
            <w:r>
              <w:rPr>
                <w:rFonts w:hint="eastAsia"/>
                <w:color w:val="auto"/>
                <w:kern w:val="0"/>
                <w:sz w:val="24"/>
              </w:rPr>
              <w:t>10</w:t>
            </w:r>
          </w:p>
        </w:tc>
        <w:tc>
          <w:tcPr>
            <w:tcW w:w="1998" w:type="dxa"/>
            <w:tcBorders>
              <w:top w:val="nil"/>
              <w:left w:val="nil"/>
              <w:bottom w:val="single" w:color="auto" w:sz="4" w:space="0"/>
              <w:right w:val="single" w:color="auto" w:sz="4" w:space="0"/>
            </w:tcBorders>
            <w:noWrap w:val="0"/>
            <w:vAlign w:val="center"/>
          </w:tcPr>
          <w:p>
            <w:pPr>
              <w:jc w:val="center"/>
              <w:rPr>
                <w:color w:val="auto"/>
                <w:kern w:val="0"/>
                <w:sz w:val="24"/>
              </w:rPr>
            </w:pPr>
            <w:r>
              <w:rPr>
                <w:rFonts w:hint="eastAsia"/>
                <w:color w:val="auto"/>
                <w:kern w:val="0"/>
                <w:sz w:val="24"/>
              </w:rPr>
              <w:t>98</w:t>
            </w:r>
          </w:p>
        </w:tc>
        <w:tc>
          <w:tcPr>
            <w:tcW w:w="1578" w:type="dxa"/>
            <w:tcBorders>
              <w:top w:val="nil"/>
              <w:left w:val="nil"/>
              <w:bottom w:val="single" w:color="auto" w:sz="4" w:space="0"/>
              <w:right w:val="single" w:color="auto" w:sz="4" w:space="0"/>
            </w:tcBorders>
            <w:noWrap w:val="0"/>
            <w:vAlign w:val="center"/>
          </w:tcPr>
          <w:p>
            <w:pPr>
              <w:jc w:val="center"/>
              <w:rPr>
                <w:color w:val="auto"/>
                <w:kern w:val="0"/>
                <w:sz w:val="24"/>
              </w:rPr>
            </w:pPr>
            <w:r>
              <w:rPr>
                <w:rFonts w:hint="eastAsia"/>
                <w:color w:val="auto"/>
                <w:kern w:val="0"/>
                <w:sz w:val="24"/>
              </w:rPr>
              <w:t>2018年9月</w:t>
            </w:r>
          </w:p>
        </w:tc>
      </w:tr>
      <w:tr>
        <w:tblPrEx>
          <w:tblCellMar>
            <w:top w:w="0" w:type="dxa"/>
            <w:left w:w="108" w:type="dxa"/>
            <w:bottom w:w="0" w:type="dxa"/>
            <w:right w:w="108" w:type="dxa"/>
          </w:tblCellMar>
        </w:tblPrEx>
        <w:trPr>
          <w:trHeight w:val="288" w:hRule="atLeast"/>
        </w:trPr>
        <w:tc>
          <w:tcPr>
            <w:tcW w:w="2337" w:type="dxa"/>
            <w:tcBorders>
              <w:top w:val="nil"/>
              <w:left w:val="single" w:color="auto" w:sz="4" w:space="0"/>
              <w:bottom w:val="single" w:color="auto" w:sz="4" w:space="0"/>
              <w:right w:val="single" w:color="auto" w:sz="4" w:space="0"/>
            </w:tcBorders>
            <w:noWrap w:val="0"/>
            <w:vAlign w:val="center"/>
          </w:tcPr>
          <w:p>
            <w:pPr>
              <w:jc w:val="center"/>
              <w:rPr>
                <w:color w:val="auto"/>
                <w:kern w:val="0"/>
                <w:sz w:val="24"/>
              </w:rPr>
            </w:pPr>
            <w:r>
              <w:rPr>
                <w:color w:val="auto"/>
                <w:kern w:val="0"/>
                <w:sz w:val="24"/>
              </w:rPr>
              <w:t>……</w:t>
            </w:r>
          </w:p>
        </w:tc>
        <w:tc>
          <w:tcPr>
            <w:tcW w:w="2609" w:type="dxa"/>
            <w:tcBorders>
              <w:top w:val="nil"/>
              <w:left w:val="nil"/>
              <w:bottom w:val="single" w:color="auto" w:sz="4" w:space="0"/>
              <w:right w:val="single" w:color="auto" w:sz="4" w:space="0"/>
            </w:tcBorders>
            <w:noWrap w:val="0"/>
            <w:vAlign w:val="center"/>
          </w:tcPr>
          <w:p>
            <w:pPr>
              <w:jc w:val="center"/>
              <w:rPr>
                <w:color w:val="auto"/>
                <w:kern w:val="0"/>
                <w:sz w:val="24"/>
              </w:rPr>
            </w:pPr>
          </w:p>
        </w:tc>
        <w:tc>
          <w:tcPr>
            <w:tcW w:w="1998" w:type="dxa"/>
            <w:tcBorders>
              <w:top w:val="nil"/>
              <w:left w:val="nil"/>
              <w:bottom w:val="single" w:color="auto" w:sz="4" w:space="0"/>
              <w:right w:val="single" w:color="auto" w:sz="4" w:space="0"/>
            </w:tcBorders>
            <w:noWrap w:val="0"/>
            <w:vAlign w:val="center"/>
          </w:tcPr>
          <w:p>
            <w:pPr>
              <w:jc w:val="center"/>
              <w:rPr>
                <w:color w:val="auto"/>
                <w:kern w:val="0"/>
                <w:sz w:val="24"/>
              </w:rPr>
            </w:pPr>
          </w:p>
        </w:tc>
        <w:tc>
          <w:tcPr>
            <w:tcW w:w="1578" w:type="dxa"/>
            <w:tcBorders>
              <w:top w:val="nil"/>
              <w:left w:val="nil"/>
              <w:bottom w:val="single" w:color="auto" w:sz="4" w:space="0"/>
              <w:right w:val="single" w:color="auto" w:sz="4" w:space="0"/>
            </w:tcBorders>
            <w:noWrap w:val="0"/>
            <w:vAlign w:val="center"/>
          </w:tcPr>
          <w:p>
            <w:pPr>
              <w:jc w:val="center"/>
              <w:rPr>
                <w:color w:val="auto"/>
                <w:kern w:val="0"/>
                <w:sz w:val="24"/>
              </w:rPr>
            </w:pPr>
          </w:p>
        </w:tc>
      </w:tr>
    </w:tbl>
    <w:p>
      <w:pPr>
        <w:numPr>
          <w:ilvl w:val="0"/>
          <w:numId w:val="2"/>
        </w:numPr>
        <w:spacing w:line="360" w:lineRule="auto"/>
        <w:ind w:left="640" w:leftChars="0" w:firstLine="0" w:firstLineChars="0"/>
        <w:rPr>
          <w:rFonts w:hint="eastAsia" w:ascii="仿宋" w:hAnsi="仿宋" w:eastAsia="仿宋" w:cs="仿宋"/>
          <w:color w:val="auto"/>
          <w:sz w:val="32"/>
          <w:szCs w:val="32"/>
        </w:rPr>
      </w:pPr>
      <w:r>
        <w:rPr>
          <w:rFonts w:hint="eastAsia" w:ascii="仿宋" w:hAnsi="仿宋" w:eastAsia="仿宋" w:cs="仿宋"/>
          <w:bCs/>
          <w:color w:val="auto"/>
          <w:sz w:val="32"/>
          <w:szCs w:val="32"/>
        </w:rPr>
        <w:t>抽样调查结果：</w:t>
      </w:r>
      <w:r>
        <w:rPr>
          <w:rFonts w:hint="eastAsia" w:ascii="仿宋" w:hAnsi="仿宋" w:eastAsia="仿宋" w:cs="仿宋"/>
          <w:color w:val="auto"/>
          <w:sz w:val="32"/>
          <w:szCs w:val="32"/>
        </w:rPr>
        <w:t>平均满意度96.5分</w:t>
      </w:r>
    </w:p>
    <w:p>
      <w:pPr>
        <w:numPr>
          <w:ilvl w:val="0"/>
          <w:numId w:val="0"/>
        </w:numPr>
        <w:spacing w:line="360" w:lineRule="auto"/>
        <w:ind w:left="640" w:leftChars="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绩效自评等级为“良”</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159.58</w:t>
      </w:r>
      <w:r>
        <w:rPr>
          <w:rFonts w:hint="eastAsia" w:ascii="仿宋_GB2312" w:eastAsia="仿宋_GB2312" w:cs="DengXian-Regular"/>
          <w:sz w:val="32"/>
          <w:szCs w:val="32"/>
        </w:rPr>
        <w:t>万元，比年初预算数减少</w:t>
      </w:r>
      <w:r>
        <w:rPr>
          <w:rFonts w:hint="eastAsia" w:ascii="仿宋_GB2312" w:eastAsia="仿宋_GB2312" w:cs="DengXian-Regular"/>
          <w:sz w:val="32"/>
          <w:szCs w:val="32"/>
          <w:lang w:val="en-US" w:eastAsia="zh-CN"/>
        </w:rPr>
        <w:t>19.25</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10.8</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1.</w:t>
      </w:r>
      <w:r>
        <w:rPr>
          <w:rFonts w:hint="eastAsia" w:ascii="仿宋_GB2312" w:hAnsi="??" w:eastAsia="仿宋_GB2312" w:cs="仿宋_GB2312"/>
          <w:color w:val="000000"/>
          <w:kern w:val="0"/>
          <w:sz w:val="32"/>
          <w:szCs w:val="32"/>
        </w:rPr>
        <w:t>严格执行“八项规定”，严格控制</w:t>
      </w:r>
      <w:r>
        <w:rPr>
          <w:rFonts w:hint="eastAsia" w:ascii="仿宋_GB2312" w:hAnsi="??" w:eastAsia="仿宋_GB2312" w:cs="仿宋_GB2312"/>
          <w:color w:val="000000"/>
          <w:kern w:val="0"/>
          <w:sz w:val="32"/>
          <w:szCs w:val="32"/>
          <w:lang w:eastAsia="zh-CN"/>
        </w:rPr>
        <w:t>公务接待费</w:t>
      </w:r>
      <w:r>
        <w:rPr>
          <w:rFonts w:hint="eastAsia" w:ascii="仿宋_GB2312" w:hAnsi="??" w:eastAsia="仿宋_GB2312" w:cs="仿宋_GB2312"/>
          <w:color w:val="000000"/>
          <w:kern w:val="0"/>
          <w:sz w:val="32"/>
          <w:szCs w:val="32"/>
        </w:rPr>
        <w:t>支出，</w:t>
      </w:r>
      <w:r>
        <w:rPr>
          <w:rFonts w:hint="eastAsia" w:ascii="仿宋_GB2312" w:hAnsi="仿宋_GB2312" w:eastAsia="仿宋_GB2312" w:cs="仿宋_GB2312"/>
          <w:color w:val="2B2B2B"/>
          <w:sz w:val="32"/>
          <w:szCs w:val="32"/>
          <w:shd w:val="clear" w:color="auto" w:fill="FFFFFF"/>
        </w:rPr>
        <w:t>完善制度，强化审批程序，严格把支出关，将</w:t>
      </w:r>
      <w:r>
        <w:rPr>
          <w:rFonts w:hint="eastAsia" w:ascii="仿宋_GB2312" w:hAnsi="仿宋_GB2312" w:eastAsia="仿宋_GB2312" w:cs="仿宋_GB2312"/>
          <w:color w:val="2B2B2B"/>
          <w:sz w:val="32"/>
          <w:szCs w:val="32"/>
          <w:shd w:val="clear" w:color="auto" w:fill="FFFFFF"/>
          <w:lang w:eastAsia="zh-CN"/>
        </w:rPr>
        <w:t>各项经费支出</w:t>
      </w:r>
      <w:r>
        <w:rPr>
          <w:rFonts w:hint="eastAsia" w:ascii="仿宋_GB2312" w:hAnsi="仿宋_GB2312" w:eastAsia="仿宋_GB2312" w:cs="仿宋_GB2312"/>
          <w:color w:val="2B2B2B"/>
          <w:sz w:val="32"/>
          <w:szCs w:val="32"/>
          <w:shd w:val="clear" w:color="auto" w:fill="FFFFFF"/>
        </w:rPr>
        <w:t>降到最低</w:t>
      </w:r>
      <w:r>
        <w:rPr>
          <w:rFonts w:hint="eastAsia" w:ascii="仿宋_GB2312" w:eastAsia="仿宋_GB2312" w:cs="DengXian-Regular"/>
          <w:sz w:val="32"/>
          <w:szCs w:val="32"/>
        </w:rPr>
        <w:t>。</w:t>
      </w:r>
      <w:r>
        <w:rPr>
          <w:rFonts w:hint="eastAsia" w:ascii="仿宋" w:hAnsi="仿宋" w:eastAsia="仿宋" w:cs="仿宋"/>
          <w:sz w:val="32"/>
          <w:szCs w:val="32"/>
        </w:rPr>
        <w:pict>
          <v:group id="_x0000_s1040" o:spid="_x0000_s1040" o:spt="203" style="position:absolute;left:0pt;margin-left:-0.55pt;margin-top:29.3pt;height:43.95pt;width:301.85pt;mso-position-horizontal-relative:page;mso-position-vertical-relative:page;z-index:251682816;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J+ys7bAAAACwEAAA8AAAAAAAAA&#10;AQAgAAAAIgAAAGRycy9kb3ducmV2LnhtbFBLAQIUABQAAAAIAIdO4kBfMp5fKwMAAO4IAAAOAAAA&#10;AAAAAAEAIAAAACoBAABkcnMvZTJvRG9jLnhtbFBLBQYAAAAABgAGAFkBAADHBgAAAAA=&#10;">
            <o:lock v:ext="edit"/>
            <v:rect id="矩形 13" o:spid="_x0000_s1042" o:spt="1" style="position:absolute;left:4551;top:52615;height:1175;width:8546;v-text-anchor:middle;" fillcolor="#D9D9D9" filled="t" stroked="f" coordsize="21600,21600" o:gfxdata="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IM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CTbzR7gAAADb&#10;AAAADwAAAGRycy9kb3ducmV2LnhtbEVPy4rCMBTdC/MP4Q6408RZaKeaFkZQXPoct5fm2habm5LE&#10;19+bxcAsD+e9KJ+2E3fyoXWsYTJWIIgrZ1quNRwPq1EGIkRkg51j0vCiAGXxMVhgbtyDd3Tfx1qk&#10;EA45amhi7HMpQ9WQxTB2PXHiLs5bjAn6WhqPjxRuO/ml1FRabDk1NNjTsqHqur9ZDdPtz9JVh2z9&#10;68+t2rrb6pXNTloPPydqDiLSM/6L/9wbo+E7rU9f0g+Q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bzR7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lang w:val="en-US" w:eastAsia="zh-CN"/>
        </w:rPr>
        <w:t>2.</w:t>
      </w:r>
      <w:r>
        <w:rPr>
          <w:rFonts w:hint="eastAsia" w:ascii="仿宋" w:hAnsi="仿宋" w:eastAsia="仿宋" w:cs="仿宋"/>
          <w:sz w:val="32"/>
          <w:szCs w:val="32"/>
          <w:lang w:eastAsia="zh-CN"/>
        </w:rPr>
        <w:t>部分机关运行经费结转结余在下年度初列支。</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240.29</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240.29</w:t>
      </w:r>
      <w:r>
        <w:rPr>
          <w:rFonts w:ascii="仿宋_GB2312" w:hAnsi="仿宋_GB2312" w:eastAsia="仿宋_GB2312" w:cs="仿宋_GB2312"/>
          <w:color w:val="000000"/>
          <w:kern w:val="0"/>
          <w:sz w:val="32"/>
          <w:szCs w:val="32"/>
        </w:rPr>
        <w:t>万元。</w:t>
      </w:r>
      <w:r>
        <w:rPr>
          <w:rFonts w:ascii="仿宋_GB2312" w:hAnsi="仿宋_GB2312" w:eastAsia="仿宋_GB2312" w:cs="仿宋_GB2312"/>
          <w:color w:val="000000"/>
          <w:kern w:val="0"/>
          <w:sz w:val="32"/>
          <w:szCs w:val="32"/>
          <w:highlight w:val="none"/>
        </w:rPr>
        <w:t>授予中小企业合同金</w:t>
      </w:r>
      <w:r>
        <w:rPr>
          <w:rFonts w:hint="eastAsia" w:ascii="仿宋_GB2312" w:hAnsi="仿宋_GB2312" w:eastAsia="仿宋_GB2312" w:cs="仿宋_GB2312"/>
          <w:color w:val="000000"/>
          <w:kern w:val="0"/>
          <w:sz w:val="32"/>
          <w:szCs w:val="32"/>
          <w:highlight w:val="none"/>
          <w:lang w:val="en-US" w:eastAsia="zh-CN"/>
        </w:rPr>
        <w:t>240.29</w:t>
      </w:r>
      <w:r>
        <w:rPr>
          <w:rFonts w:ascii="仿宋_GB2312" w:hAnsi="仿宋_GB2312" w:eastAsia="仿宋_GB2312" w:cs="仿宋_GB2312"/>
          <w:color w:val="000000"/>
          <w:kern w:val="0"/>
          <w:sz w:val="32"/>
          <w:szCs w:val="32"/>
          <w:highlight w:val="none"/>
        </w:rPr>
        <w:t>万元，占政府采购支出总额的</w:t>
      </w:r>
      <w:r>
        <w:rPr>
          <w:rFonts w:hint="eastAsia" w:ascii="仿宋_GB2312" w:hAnsi="仿宋_GB2312" w:eastAsia="仿宋_GB2312" w:cs="仿宋_GB2312"/>
          <w:color w:val="000000"/>
          <w:kern w:val="0"/>
          <w:sz w:val="32"/>
          <w:szCs w:val="32"/>
          <w:highlight w:val="none"/>
          <w:lang w:val="en-US" w:eastAsia="zh-CN"/>
        </w:rPr>
        <w:t>100</w:t>
      </w:r>
      <w:r>
        <w:rPr>
          <w:rFonts w:hint="eastAsia" w:ascii="仿宋_GB2312" w:hAnsi="仿宋_GB2312" w:eastAsia="仿宋_GB2312" w:cs="仿宋_GB2312"/>
          <w:color w:val="000000"/>
          <w:kern w:val="0"/>
          <w:sz w:val="32"/>
          <w:szCs w:val="32"/>
          <w:highlight w:val="none"/>
        </w:rPr>
        <w:t>%</w:t>
      </w:r>
      <w:r>
        <w:rPr>
          <w:rFonts w:ascii="仿宋_GB2312" w:hAnsi="仿宋_GB2312" w:eastAsia="仿宋_GB2312" w:cs="仿宋_GB2312"/>
          <w:color w:val="000000"/>
          <w:kern w:val="0"/>
          <w:sz w:val="32"/>
          <w:szCs w:val="32"/>
          <w:highlight w:val="none"/>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w:t>
      </w:r>
      <w:r>
        <w:rPr>
          <w:rFonts w:hint="eastAsia" w:ascii="仿宋_GB2312" w:eastAsia="仿宋_GB2312" w:cs="DengXian-Regular"/>
          <w:sz w:val="32"/>
          <w:szCs w:val="32"/>
          <w:highlight w:val="none"/>
        </w:rPr>
        <w:t>本部门共有车辆</w:t>
      </w:r>
      <w:r>
        <w:rPr>
          <w:rFonts w:hint="eastAsia" w:ascii="仿宋_GB2312" w:eastAsia="仿宋_GB2312" w:cs="DengXian-Regular"/>
          <w:sz w:val="32"/>
          <w:szCs w:val="32"/>
          <w:highlight w:val="none"/>
          <w:lang w:val="en-US" w:eastAsia="zh-CN"/>
        </w:rPr>
        <w:t>6</w:t>
      </w:r>
      <w:r>
        <w:rPr>
          <w:rFonts w:hint="eastAsia" w:ascii="仿宋_GB2312" w:eastAsia="仿宋_GB2312" w:cs="DengXian-Regular"/>
          <w:sz w:val="32"/>
          <w:szCs w:val="32"/>
          <w:highlight w:val="none"/>
        </w:rPr>
        <w:t>辆，</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持平。机要通信、</w:t>
      </w:r>
      <w:r>
        <w:rPr>
          <w:rFonts w:hint="eastAsia" w:ascii="仿宋_GB2312" w:eastAsia="仿宋_GB2312" w:cs="DengXian-Regular"/>
          <w:sz w:val="32"/>
          <w:szCs w:val="32"/>
        </w:rPr>
        <w:t>应急保障用车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其他车辆</w:t>
      </w:r>
      <w:r>
        <w:rPr>
          <w:rFonts w:hint="eastAsia" w:ascii="仿宋_GB2312" w:eastAsia="仿宋_GB2312" w:cs="DengXian-Regular"/>
          <w:sz w:val="32"/>
          <w:szCs w:val="32"/>
          <w:lang w:val="en-US" w:eastAsia="zh-CN"/>
        </w:rPr>
        <w:t>2辆</w:t>
      </w:r>
      <w:r>
        <w:rPr>
          <w:rFonts w:hint="eastAsia" w:ascii="仿宋_GB2312" w:eastAsia="仿宋_GB2312" w:cs="DengXian-Regular"/>
          <w:sz w:val="32"/>
          <w:szCs w:val="32"/>
        </w:rPr>
        <w:t>；</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eastAsia="zh-CN"/>
        </w:rPr>
        <w:t>国有资本经营预算</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eastAsia="zh-CN"/>
        </w:rPr>
        <w:t>国有资本经营预算财政拨款支出决算</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8384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360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4864;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5888;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155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8C42EB5-D394-402A-B5EE-D33533E42006}"/>
  </w:font>
  <w:font w:name="黑体">
    <w:panose1 w:val="02010609060101010101"/>
    <w:charset w:val="86"/>
    <w:family w:val="auto"/>
    <w:pitch w:val="default"/>
    <w:sig w:usb0="800002BF" w:usb1="38CF7CFA" w:usb2="00000016" w:usb3="00000000" w:csb0="00040001" w:csb1="00000000"/>
    <w:embedRegular r:id="rId2" w:fontKey="{EC4EFCB2-AD49-4D8D-BCC6-9DF6F2128B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C0D18051-892F-4C4C-BAC6-07ADEE055297}"/>
  </w:font>
  <w:font w:name="楷体">
    <w:panose1 w:val="02010609060101010101"/>
    <w:charset w:val="86"/>
    <w:family w:val="modern"/>
    <w:pitch w:val="default"/>
    <w:sig w:usb0="800002BF" w:usb1="38CF7CFA" w:usb2="00000016" w:usb3="00000000" w:csb0="00040001" w:csb1="00000000"/>
    <w:embedRegular r:id="rId4" w:fontKey="{1049B99E-7C03-4229-B482-074BC56B6FE8}"/>
  </w:font>
  <w:font w:name="仿宋_GB2312">
    <w:altName w:val="仿宋"/>
    <w:panose1 w:val="00000000000000000000"/>
    <w:charset w:val="86"/>
    <w:family w:val="modern"/>
    <w:pitch w:val="default"/>
    <w:sig w:usb0="00000000" w:usb1="00000000" w:usb2="00000000" w:usb3="00000000" w:csb0="00000000" w:csb1="00000000"/>
    <w:embedRegular r:id="rId5" w:fontKey="{FE69DFE4-5297-4329-A6CD-465CD7E49F4D}"/>
  </w:font>
  <w:font w:name="仿宋">
    <w:panose1 w:val="02010609060101010101"/>
    <w:charset w:val="86"/>
    <w:family w:val="auto"/>
    <w:pitch w:val="default"/>
    <w:sig w:usb0="800002BF" w:usb1="38CF7CFA" w:usb2="00000016" w:usb3="00000000" w:csb0="00040001" w:csb1="00000000"/>
    <w:embedRegular r:id="rId6" w:fontKey="{9D2E5A7A-FA18-44AB-B2C1-63305562A54D}"/>
  </w:font>
  <w:font w:name="ArialUnicodeMS">
    <w:altName w:val="Malgun Gothic"/>
    <w:panose1 w:val="00000000000000000000"/>
    <w:charset w:val="81"/>
    <w:family w:val="auto"/>
    <w:pitch w:val="default"/>
    <w:sig w:usb0="00000000" w:usb1="00000000" w:usb2="00000010" w:usb3="00000000" w:csb0="00080001" w:csb1="00000000"/>
    <w:embedRegular r:id="rId7" w:fontKey="{0E58FF9A-A37D-45C3-8C98-A3EF70C6B4D8}"/>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8" w:fontKey="{D2571826-0686-4C78-AEDE-4EBD13A47E46}"/>
  </w:font>
  <w:font w:name="DengXian-Regular">
    <w:altName w:val="宋体"/>
    <w:panose1 w:val="00000000000000000000"/>
    <w:charset w:val="86"/>
    <w:family w:val="auto"/>
    <w:pitch w:val="default"/>
    <w:sig w:usb0="00000000" w:usb1="00000000" w:usb2="00000010" w:usb3="00000000" w:csb0="00040001" w:csb1="00000000"/>
    <w:embedRegular r:id="rId9" w:fontKey="{BB386E53-AAFA-481F-A01B-E68653A7771F}"/>
  </w:font>
  <w:font w:name="楷体_GB2312">
    <w:altName w:val="楷体"/>
    <w:panose1 w:val="00000000000000000000"/>
    <w:charset w:val="86"/>
    <w:family w:val="modern"/>
    <w:pitch w:val="default"/>
    <w:sig w:usb0="00000000" w:usb1="00000000" w:usb2="00000000" w:usb3="00000000" w:csb0="00000000" w:csb1="00000000"/>
    <w:embedRegular r:id="rId10" w:fontKey="{FA21F352-EEC4-4027-BE52-469FDB54076E}"/>
  </w:font>
  <w:font w:name="DengXian-Bold">
    <w:altName w:val="宋体"/>
    <w:panose1 w:val="00000000000000000000"/>
    <w:charset w:val="86"/>
    <w:family w:val="auto"/>
    <w:pitch w:val="default"/>
    <w:sig w:usb0="00000000" w:usb1="00000000" w:usb2="00000010" w:usb3="00000000" w:csb0="00040001" w:csb1="00000000"/>
    <w:embedRegular r:id="rId11" w:fontKey="{B5A60406-FDFF-4170-AB5E-DEDDD5152DC5}"/>
  </w:font>
  <w:font w:name="??">
    <w:altName w:val="Courier New"/>
    <w:panose1 w:val="00000000000000000000"/>
    <w:charset w:val="00"/>
    <w:family w:val="auto"/>
    <w:pitch w:val="default"/>
    <w:sig w:usb0="00000000" w:usb1="00000000" w:usb2="00000000" w:usb3="00000000" w:csb0="00000001" w:csb1="00000000"/>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E67F8D"/>
    <w:multiLevelType w:val="singleLevel"/>
    <w:tmpl w:val="DBE67F8D"/>
    <w:lvl w:ilvl="0" w:tentative="0">
      <w:start w:val="2"/>
      <w:numFmt w:val="decimal"/>
      <w:lvlText w:val="%1."/>
      <w:lvlJc w:val="left"/>
      <w:pPr>
        <w:tabs>
          <w:tab w:val="left" w:pos="312"/>
        </w:tabs>
        <w:ind w:left="640" w:leftChars="0" w:firstLine="0" w:firstLineChars="0"/>
      </w:p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52E9C"/>
    <w:rsid w:val="004B6E37"/>
    <w:rsid w:val="004C32BA"/>
    <w:rsid w:val="00575922"/>
    <w:rsid w:val="005A6C90"/>
    <w:rsid w:val="005E3FB0"/>
    <w:rsid w:val="005F4B66"/>
    <w:rsid w:val="005F5208"/>
    <w:rsid w:val="00641318"/>
    <w:rsid w:val="0064405D"/>
    <w:rsid w:val="00695557"/>
    <w:rsid w:val="006D4EA7"/>
    <w:rsid w:val="0070012A"/>
    <w:rsid w:val="0070664B"/>
    <w:rsid w:val="007071B8"/>
    <w:rsid w:val="007414DE"/>
    <w:rsid w:val="007905A9"/>
    <w:rsid w:val="007E5500"/>
    <w:rsid w:val="007F055B"/>
    <w:rsid w:val="00811C2F"/>
    <w:rsid w:val="00833D46"/>
    <w:rsid w:val="00840A97"/>
    <w:rsid w:val="008C0149"/>
    <w:rsid w:val="008D5DED"/>
    <w:rsid w:val="008E25CA"/>
    <w:rsid w:val="008F34FC"/>
    <w:rsid w:val="00944CD7"/>
    <w:rsid w:val="009831B2"/>
    <w:rsid w:val="009A1ABE"/>
    <w:rsid w:val="009E21A4"/>
    <w:rsid w:val="009F22C6"/>
    <w:rsid w:val="009F4887"/>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CF4BD7"/>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4073F84"/>
    <w:rsid w:val="041A7D6C"/>
    <w:rsid w:val="046F6F2D"/>
    <w:rsid w:val="065C67D1"/>
    <w:rsid w:val="091054EA"/>
    <w:rsid w:val="0B60750A"/>
    <w:rsid w:val="0C04092D"/>
    <w:rsid w:val="0C930226"/>
    <w:rsid w:val="0CDB68E1"/>
    <w:rsid w:val="0E684160"/>
    <w:rsid w:val="10686488"/>
    <w:rsid w:val="10DF728A"/>
    <w:rsid w:val="12457A93"/>
    <w:rsid w:val="1264200E"/>
    <w:rsid w:val="141C5B77"/>
    <w:rsid w:val="14A365AD"/>
    <w:rsid w:val="15A01DCF"/>
    <w:rsid w:val="15D329DC"/>
    <w:rsid w:val="1849503E"/>
    <w:rsid w:val="18D8339D"/>
    <w:rsid w:val="1A21388F"/>
    <w:rsid w:val="1A570D2F"/>
    <w:rsid w:val="1AC136CD"/>
    <w:rsid w:val="1C9C0599"/>
    <w:rsid w:val="1CAE1888"/>
    <w:rsid w:val="1DD56BD2"/>
    <w:rsid w:val="1DE046E2"/>
    <w:rsid w:val="1E8C3320"/>
    <w:rsid w:val="1EC25A07"/>
    <w:rsid w:val="20DC698B"/>
    <w:rsid w:val="20F64148"/>
    <w:rsid w:val="24EF73FE"/>
    <w:rsid w:val="26D97483"/>
    <w:rsid w:val="276D5BE3"/>
    <w:rsid w:val="27D21FB3"/>
    <w:rsid w:val="27FF741A"/>
    <w:rsid w:val="28FB0B8D"/>
    <w:rsid w:val="29497EB5"/>
    <w:rsid w:val="2A9870FC"/>
    <w:rsid w:val="2B2A631A"/>
    <w:rsid w:val="2C3A046D"/>
    <w:rsid w:val="2D035B4B"/>
    <w:rsid w:val="2D2B7942"/>
    <w:rsid w:val="2D36500B"/>
    <w:rsid w:val="2D46481D"/>
    <w:rsid w:val="2DB45F2A"/>
    <w:rsid w:val="2DF17100"/>
    <w:rsid w:val="2E733B28"/>
    <w:rsid w:val="2E932421"/>
    <w:rsid w:val="2F677928"/>
    <w:rsid w:val="30517BB0"/>
    <w:rsid w:val="31852B5A"/>
    <w:rsid w:val="32995CBC"/>
    <w:rsid w:val="32D01238"/>
    <w:rsid w:val="332F2D10"/>
    <w:rsid w:val="3398770C"/>
    <w:rsid w:val="33E73CAE"/>
    <w:rsid w:val="3A0A56E5"/>
    <w:rsid w:val="3B2877E4"/>
    <w:rsid w:val="3B5A2132"/>
    <w:rsid w:val="3C6E6EA1"/>
    <w:rsid w:val="3D776347"/>
    <w:rsid w:val="3DFC59A8"/>
    <w:rsid w:val="3EC5794F"/>
    <w:rsid w:val="3ECF245E"/>
    <w:rsid w:val="3FAD1BD9"/>
    <w:rsid w:val="3FB96314"/>
    <w:rsid w:val="3FCE7E5A"/>
    <w:rsid w:val="40977941"/>
    <w:rsid w:val="427A4F9D"/>
    <w:rsid w:val="43146368"/>
    <w:rsid w:val="4624547C"/>
    <w:rsid w:val="4710101E"/>
    <w:rsid w:val="48A551D0"/>
    <w:rsid w:val="48FF7AA8"/>
    <w:rsid w:val="490F377B"/>
    <w:rsid w:val="49940010"/>
    <w:rsid w:val="49CD710A"/>
    <w:rsid w:val="4A8B25D7"/>
    <w:rsid w:val="4D1D5335"/>
    <w:rsid w:val="4DE84F3E"/>
    <w:rsid w:val="4F507E11"/>
    <w:rsid w:val="4FBA422C"/>
    <w:rsid w:val="51040937"/>
    <w:rsid w:val="53A44FAF"/>
    <w:rsid w:val="53F84779"/>
    <w:rsid w:val="550C4264"/>
    <w:rsid w:val="56886232"/>
    <w:rsid w:val="57626AA2"/>
    <w:rsid w:val="594329EC"/>
    <w:rsid w:val="5A03638E"/>
    <w:rsid w:val="5AAC5B8A"/>
    <w:rsid w:val="5B2E2D90"/>
    <w:rsid w:val="5BEE1540"/>
    <w:rsid w:val="5DE61A5D"/>
    <w:rsid w:val="5F133DA4"/>
    <w:rsid w:val="5F952029"/>
    <w:rsid w:val="61195FB6"/>
    <w:rsid w:val="62EC02A6"/>
    <w:rsid w:val="63C04243"/>
    <w:rsid w:val="649C01C7"/>
    <w:rsid w:val="69806724"/>
    <w:rsid w:val="699A3F60"/>
    <w:rsid w:val="6A535CFC"/>
    <w:rsid w:val="6B7B5BB8"/>
    <w:rsid w:val="6C3209C7"/>
    <w:rsid w:val="70472DDE"/>
    <w:rsid w:val="715A78F4"/>
    <w:rsid w:val="72902E62"/>
    <w:rsid w:val="72EB7B29"/>
    <w:rsid w:val="73C61104"/>
    <w:rsid w:val="75A13600"/>
    <w:rsid w:val="76391EDB"/>
    <w:rsid w:val="776452EA"/>
    <w:rsid w:val="784C018B"/>
    <w:rsid w:val="78BC48E5"/>
    <w:rsid w:val="7AAC488E"/>
    <w:rsid w:val="7BD21521"/>
    <w:rsid w:val="7D2F7A74"/>
    <w:rsid w:val="7DC663B9"/>
    <w:rsid w:val="7E59287B"/>
    <w:rsid w:val="7E6373B8"/>
    <w:rsid w:val="7F05510C"/>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36130;&#25919;&#23616;\&#39044;&#31639;&#20915;&#31639;\&#20915;&#31639;\2019&#24180;\2018&#24180;&#20915;&#31639;&#20844;&#24320;\&#22269;&#24211;&#30456;&#20851;&#34920;&#26684;&#21644;&#25991;&#20214;\&#26032;&#24314;&#25991;&#20214;&#22841;gk\&#37039;&#37112;&#24066;&#27700;&#21033;&#23616;2018&#24180;&#20915;&#31639;&#20844;&#24320;\&#25910;&#20837;&#39292;&#24418;&#22270;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36130;&#25919;&#23616;\&#39044;&#31639;&#20915;&#31639;\&#20915;&#31639;\2019&#24180;\2018&#24180;&#20915;&#31639;&#20844;&#24320;\&#22269;&#24211;&#30456;&#20851;&#34920;&#26684;&#21644;&#25991;&#20214;\&#26032;&#24314;&#25991;&#20214;&#22841;gk\&#37039;&#37112;&#24066;&#27700;&#21033;&#23616;2018&#24180;&#20915;&#31639;&#20844;&#24320;\&#25903;&#20986;&#39292;&#24418;&#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[收入饼形图1.xlsx]Sheet1!$B$2</c:f>
              <c:strCache>
                <c:ptCount val="1"/>
                <c:pt idx="0">
                  <c:v>财政拨款收入</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val>
            <c:numRef>
              <c:f>[收入饼形图1.xlsx]Sheet1!$B$3:$B$4</c:f>
              <c:numCache>
                <c:formatCode>General</c:formatCode>
                <c:ptCount val="2"/>
                <c:pt idx="0">
                  <c:v>30342.87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[工作簿1]Sheet1!$B$2:$C$2</c:f>
              <c:strCache>
                <c:ptCount val="2"/>
                <c:pt idx="0">
                  <c:v>基本支出</c:v>
                </c:pt>
                <c:pt idx="1">
                  <c:v>项目支出</c:v>
                </c:pt>
              </c:strCache>
            </c:strRef>
          </c:cat>
          <c:val>
            <c:numRef>
              <c:f>[工作簿1]Sheet1!$B$3:$C$3</c:f>
              <c:numCache>
                <c:formatCode>General</c:formatCode>
                <c:ptCount val="2"/>
                <c:pt idx="0">
                  <c:v>1845.49</c:v>
                </c:pt>
                <c:pt idx="1">
                  <c:v>28402.97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03"/>
    <customShpInfo spid="_x0000_s1102"/>
    <customShpInfo spid="_x0000_s1101"/>
    <customShpInfo spid="_x0000_s1088"/>
    <customShpInfo spid="_x0000_s1087"/>
    <customShpInfo spid="_x0000_s1086"/>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6"/>
    <customShpInfo spid="_x0000_s1065"/>
    <customShpInfo spid="_x0000_s1064"/>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2B6CD849-8498-4D71-8BA8-27EB336527A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1611</Words>
  <Characters>9186</Characters>
  <Lines>76</Lines>
  <Paragraphs>21</Paragraphs>
  <TotalTime>82</TotalTime>
  <ScaleCrop>false</ScaleCrop>
  <LinksUpToDate>false</LinksUpToDate>
  <CharactersWithSpaces>10776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双鱼</cp:lastModifiedBy>
  <cp:lastPrinted>2019-11-20T02:25:00Z</cp:lastPrinted>
  <dcterms:modified xsi:type="dcterms:W3CDTF">2021-05-18T01:25:01Z</dcterms:modified>
  <dc:subject>石家庄市xxx部门</dc:subject>
  <dc:title>2017年度部门决算</dc:title>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8D80971352B640CB86BCA89D0D778F4E</vt:lpwstr>
  </property>
</Properties>
</file>